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217" w:rsidRDefault="004D3217" w:rsidP="004D3217">
      <w:bookmarkStart w:id="0" w:name="_GoBack"/>
      <w:bookmarkEnd w:id="0"/>
    </w:p>
    <w:p w:rsidR="004D3217" w:rsidRDefault="004D3217" w:rsidP="004D3217">
      <w:pPr>
        <w:jc w:val="center"/>
        <w:rPr>
          <w:rFonts w:ascii="黑体" w:eastAsia="黑体" w:hAnsi="黑体"/>
          <w:sz w:val="28"/>
          <w:szCs w:val="28"/>
        </w:rPr>
      </w:pPr>
      <w:r>
        <w:rPr>
          <w:rFonts w:ascii="黑体" w:eastAsia="黑体" w:hAnsi="黑体" w:hint="eastAsia"/>
          <w:sz w:val="28"/>
          <w:szCs w:val="28"/>
        </w:rPr>
        <w:t>国内互联网接入服务产品报价</w:t>
      </w:r>
    </w:p>
    <w:tbl>
      <w:tblPr>
        <w:tblW w:w="5767" w:type="pct"/>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3"/>
        <w:gridCol w:w="1903"/>
        <w:gridCol w:w="2202"/>
        <w:gridCol w:w="1759"/>
        <w:gridCol w:w="1024"/>
        <w:gridCol w:w="1608"/>
      </w:tblGrid>
      <w:tr w:rsidR="004D3217" w:rsidTr="00C11C24">
        <w:trPr>
          <w:trHeight w:val="28"/>
        </w:trPr>
        <w:tc>
          <w:tcPr>
            <w:tcW w:w="678" w:type="pct"/>
            <w:tcBorders>
              <w:top w:val="single" w:sz="4" w:space="0" w:color="auto"/>
              <w:left w:val="single" w:sz="4" w:space="0" w:color="auto"/>
              <w:bottom w:val="single" w:sz="4" w:space="0" w:color="auto"/>
              <w:right w:val="single" w:sz="4" w:space="0" w:color="auto"/>
            </w:tcBorders>
            <w:noWrap/>
            <w:vAlign w:val="center"/>
          </w:tcPr>
          <w:p w:rsidR="004D3217" w:rsidRPr="009E7F19" w:rsidRDefault="004D3217" w:rsidP="00C11C24">
            <w:pPr>
              <w:widowControl/>
              <w:snapToGrid w:val="0"/>
              <w:jc w:val="center"/>
              <w:rPr>
                <w:rFonts w:ascii="微软雅黑" w:eastAsia="微软雅黑" w:hAnsi="微软雅黑" w:cs="微软雅黑"/>
                <w:b/>
                <w:bCs/>
                <w:color w:val="000000"/>
                <w:kern w:val="0"/>
                <w:szCs w:val="24"/>
              </w:rPr>
            </w:pPr>
            <w:r w:rsidRPr="009E7F19">
              <w:rPr>
                <w:rFonts w:ascii="微软雅黑" w:eastAsia="微软雅黑" w:hAnsi="微软雅黑" w:cs="微软雅黑" w:hint="eastAsia"/>
                <w:b/>
                <w:bCs/>
                <w:color w:val="000000"/>
                <w:kern w:val="0"/>
                <w:szCs w:val="24"/>
              </w:rPr>
              <w:t>带宽</w:t>
            </w:r>
          </w:p>
        </w:tc>
        <w:tc>
          <w:tcPr>
            <w:tcW w:w="968" w:type="pct"/>
            <w:tcBorders>
              <w:top w:val="single" w:sz="4" w:space="0" w:color="auto"/>
              <w:left w:val="single" w:sz="4" w:space="0" w:color="auto"/>
              <w:bottom w:val="single" w:sz="4" w:space="0" w:color="auto"/>
              <w:right w:val="single" w:sz="4" w:space="0" w:color="auto"/>
            </w:tcBorders>
          </w:tcPr>
          <w:p w:rsidR="004D3217" w:rsidRPr="009E7F19" w:rsidRDefault="004D3217" w:rsidP="00C11C24">
            <w:pPr>
              <w:widowControl/>
              <w:snapToGrid w:val="0"/>
              <w:jc w:val="center"/>
              <w:rPr>
                <w:rFonts w:ascii="微软雅黑" w:eastAsia="微软雅黑" w:hAnsi="微软雅黑" w:cs="微软雅黑"/>
                <w:b/>
                <w:bCs/>
                <w:color w:val="000000"/>
                <w:kern w:val="0"/>
                <w:szCs w:val="24"/>
              </w:rPr>
            </w:pPr>
            <w:r w:rsidRPr="009E7F19">
              <w:rPr>
                <w:rFonts w:ascii="微软雅黑" w:eastAsia="微软雅黑" w:hAnsi="微软雅黑" w:cs="微软雅黑" w:hint="eastAsia"/>
                <w:b/>
                <w:bCs/>
                <w:color w:val="000000"/>
                <w:kern w:val="0"/>
                <w:szCs w:val="24"/>
              </w:rPr>
              <w:t>最低可提供公网固定IP地址数量（个）</w:t>
            </w:r>
          </w:p>
        </w:tc>
        <w:tc>
          <w:tcPr>
            <w:tcW w:w="1120"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napToGrid w:val="0"/>
              <w:jc w:val="center"/>
              <w:rPr>
                <w:rFonts w:ascii="微软雅黑" w:eastAsia="微软雅黑" w:hAnsi="微软雅黑" w:cs="微软雅黑"/>
                <w:b/>
                <w:bCs/>
                <w:color w:val="000000"/>
                <w:kern w:val="0"/>
                <w:szCs w:val="24"/>
              </w:rPr>
            </w:pPr>
            <w:r w:rsidRPr="009E7F19">
              <w:rPr>
                <w:rFonts w:ascii="微软雅黑" w:eastAsia="微软雅黑" w:hAnsi="微软雅黑" w:cs="微软雅黑" w:hint="eastAsia"/>
                <w:b/>
                <w:bCs/>
                <w:color w:val="000000"/>
                <w:kern w:val="0"/>
                <w:szCs w:val="24"/>
              </w:rPr>
              <w:t>目前执行合同价</w:t>
            </w:r>
          </w:p>
          <w:p w:rsidR="004D3217" w:rsidRPr="009E7F19" w:rsidRDefault="004D3217" w:rsidP="00C11C24">
            <w:pPr>
              <w:widowControl/>
              <w:snapToGrid w:val="0"/>
              <w:jc w:val="center"/>
              <w:rPr>
                <w:rFonts w:ascii="微软雅黑" w:eastAsia="微软雅黑" w:hAnsi="微软雅黑" w:cs="微软雅黑"/>
                <w:b/>
                <w:bCs/>
                <w:color w:val="000000"/>
                <w:kern w:val="0"/>
                <w:szCs w:val="24"/>
              </w:rPr>
            </w:pPr>
            <w:r w:rsidRPr="009E7F19">
              <w:rPr>
                <w:rFonts w:ascii="微软雅黑" w:eastAsia="微软雅黑" w:hAnsi="微软雅黑" w:cs="微软雅黑" w:hint="eastAsia"/>
                <w:b/>
                <w:bCs/>
                <w:color w:val="000000"/>
                <w:kern w:val="0"/>
                <w:szCs w:val="24"/>
              </w:rPr>
              <w:t>(万元/年）</w:t>
            </w:r>
          </w:p>
        </w:tc>
        <w:tc>
          <w:tcPr>
            <w:tcW w:w="895"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napToGrid w:val="0"/>
              <w:jc w:val="center"/>
              <w:rPr>
                <w:rFonts w:ascii="微软雅黑" w:eastAsia="微软雅黑" w:hAnsi="微软雅黑" w:cs="微软雅黑"/>
                <w:b/>
                <w:bCs/>
                <w:color w:val="000000"/>
                <w:kern w:val="0"/>
                <w:szCs w:val="24"/>
              </w:rPr>
            </w:pPr>
            <w:r w:rsidRPr="009E7F19">
              <w:rPr>
                <w:rFonts w:ascii="微软雅黑" w:eastAsia="微软雅黑" w:hAnsi="微软雅黑" w:cs="微软雅黑" w:hint="eastAsia"/>
                <w:b/>
                <w:bCs/>
                <w:color w:val="000000"/>
                <w:kern w:val="0"/>
                <w:szCs w:val="24"/>
              </w:rPr>
              <w:t>折扣后价格</w:t>
            </w:r>
          </w:p>
          <w:p w:rsidR="004D3217" w:rsidRPr="009E7F19" w:rsidRDefault="004D3217" w:rsidP="00C11C24">
            <w:pPr>
              <w:widowControl/>
              <w:snapToGrid w:val="0"/>
              <w:jc w:val="center"/>
              <w:rPr>
                <w:rFonts w:ascii="微软雅黑" w:eastAsia="微软雅黑" w:hAnsi="微软雅黑" w:cs="微软雅黑"/>
                <w:b/>
                <w:bCs/>
                <w:color w:val="000000"/>
                <w:kern w:val="0"/>
                <w:szCs w:val="24"/>
              </w:rPr>
            </w:pPr>
            <w:r w:rsidRPr="009E7F19">
              <w:rPr>
                <w:rFonts w:ascii="微软雅黑" w:eastAsia="微软雅黑" w:hAnsi="微软雅黑" w:cs="微软雅黑" w:hint="eastAsia"/>
                <w:b/>
                <w:bCs/>
                <w:color w:val="000000"/>
                <w:kern w:val="0"/>
                <w:szCs w:val="24"/>
              </w:rPr>
              <w:t>（万元/年）</w:t>
            </w:r>
          </w:p>
        </w:tc>
        <w:tc>
          <w:tcPr>
            <w:tcW w:w="521"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napToGrid w:val="0"/>
              <w:jc w:val="center"/>
              <w:rPr>
                <w:rFonts w:ascii="微软雅黑" w:eastAsia="微软雅黑" w:hAnsi="微软雅黑" w:cs="微软雅黑"/>
                <w:b/>
                <w:bCs/>
                <w:color w:val="000000"/>
                <w:kern w:val="0"/>
                <w:szCs w:val="24"/>
              </w:rPr>
            </w:pPr>
            <w:r w:rsidRPr="009E7F19">
              <w:rPr>
                <w:rFonts w:ascii="微软雅黑" w:eastAsia="微软雅黑" w:hAnsi="微软雅黑" w:cs="微软雅黑" w:hint="eastAsia"/>
                <w:b/>
                <w:bCs/>
                <w:color w:val="000000"/>
                <w:kern w:val="0"/>
                <w:szCs w:val="24"/>
              </w:rPr>
              <w:t>折扣率</w:t>
            </w:r>
          </w:p>
        </w:tc>
        <w:tc>
          <w:tcPr>
            <w:tcW w:w="81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napToGrid w:val="0"/>
              <w:jc w:val="center"/>
              <w:rPr>
                <w:rFonts w:ascii="微软雅黑" w:eastAsia="微软雅黑" w:hAnsi="微软雅黑" w:cs="微软雅黑"/>
                <w:b/>
                <w:bCs/>
                <w:color w:val="000000"/>
                <w:kern w:val="0"/>
                <w:szCs w:val="24"/>
              </w:rPr>
            </w:pPr>
            <w:r w:rsidRPr="009E7F19">
              <w:rPr>
                <w:rFonts w:ascii="微软雅黑" w:eastAsia="微软雅黑" w:hAnsi="微软雅黑" w:cs="微软雅黑" w:hint="eastAsia"/>
                <w:b/>
                <w:bCs/>
                <w:color w:val="000000"/>
                <w:kern w:val="0"/>
                <w:szCs w:val="24"/>
              </w:rPr>
              <w:t>备注</w:t>
            </w:r>
          </w:p>
          <w:p w:rsidR="004D3217" w:rsidRPr="009E7F19" w:rsidRDefault="004D3217" w:rsidP="00C11C24">
            <w:pPr>
              <w:widowControl/>
              <w:snapToGrid w:val="0"/>
              <w:rPr>
                <w:rFonts w:ascii="微软雅黑" w:eastAsia="微软雅黑" w:hAnsi="微软雅黑" w:cs="微软雅黑"/>
                <w:b/>
                <w:bCs/>
                <w:color w:val="000000"/>
                <w:kern w:val="0"/>
                <w:szCs w:val="24"/>
              </w:rPr>
            </w:pPr>
            <w:r w:rsidRPr="009E7F19">
              <w:rPr>
                <w:rFonts w:ascii="微软雅黑" w:eastAsia="微软雅黑" w:hAnsi="微软雅黑" w:cs="微软雅黑" w:hint="eastAsia"/>
                <w:b/>
                <w:bCs/>
                <w:color w:val="000000"/>
                <w:kern w:val="0"/>
                <w:szCs w:val="24"/>
              </w:rPr>
              <w:t>（接入方式）</w:t>
            </w:r>
          </w:p>
        </w:tc>
      </w:tr>
      <w:tr w:rsidR="004D3217" w:rsidTr="00C11C24">
        <w:trPr>
          <w:trHeight w:hRule="exact" w:val="737"/>
        </w:trPr>
        <w:tc>
          <w:tcPr>
            <w:tcW w:w="678" w:type="pct"/>
            <w:tcBorders>
              <w:top w:val="single" w:sz="4" w:space="0" w:color="auto"/>
              <w:left w:val="single" w:sz="4" w:space="0" w:color="auto"/>
              <w:bottom w:val="single" w:sz="4" w:space="0" w:color="auto"/>
              <w:right w:val="single" w:sz="4" w:space="0" w:color="auto"/>
            </w:tcBorders>
            <w:noWrap/>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10M</w:t>
            </w:r>
          </w:p>
        </w:tc>
        <w:tc>
          <w:tcPr>
            <w:tcW w:w="96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4</w:t>
            </w:r>
          </w:p>
        </w:tc>
        <w:tc>
          <w:tcPr>
            <w:tcW w:w="1120"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5.76</w:t>
            </w:r>
          </w:p>
        </w:tc>
        <w:tc>
          <w:tcPr>
            <w:tcW w:w="895"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2.80</w:t>
            </w:r>
          </w:p>
        </w:tc>
        <w:tc>
          <w:tcPr>
            <w:tcW w:w="521" w:type="pct"/>
            <w:vMerge w:val="restart"/>
            <w:tcBorders>
              <w:top w:val="single" w:sz="4" w:space="0" w:color="auto"/>
              <w:left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50%</w:t>
            </w:r>
          </w:p>
        </w:tc>
        <w:tc>
          <w:tcPr>
            <w:tcW w:w="81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w:t>
            </w:r>
          </w:p>
        </w:tc>
      </w:tr>
      <w:tr w:rsidR="004D3217" w:rsidTr="00C11C24">
        <w:trPr>
          <w:trHeight w:hRule="exact" w:val="737"/>
        </w:trPr>
        <w:tc>
          <w:tcPr>
            <w:tcW w:w="678" w:type="pct"/>
            <w:tcBorders>
              <w:top w:val="single" w:sz="4" w:space="0" w:color="auto"/>
              <w:left w:val="single" w:sz="4" w:space="0" w:color="auto"/>
              <w:bottom w:val="single" w:sz="4" w:space="0" w:color="auto"/>
              <w:right w:val="single" w:sz="4" w:space="0" w:color="auto"/>
            </w:tcBorders>
            <w:noWrap/>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20M</w:t>
            </w:r>
          </w:p>
        </w:tc>
        <w:tc>
          <w:tcPr>
            <w:tcW w:w="96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4</w:t>
            </w:r>
          </w:p>
        </w:tc>
        <w:tc>
          <w:tcPr>
            <w:tcW w:w="1120"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11.66</w:t>
            </w:r>
          </w:p>
        </w:tc>
        <w:tc>
          <w:tcPr>
            <w:tcW w:w="895"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5.83</w:t>
            </w:r>
          </w:p>
        </w:tc>
        <w:tc>
          <w:tcPr>
            <w:tcW w:w="521" w:type="pct"/>
            <w:vMerge/>
            <w:tcBorders>
              <w:left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p>
        </w:tc>
        <w:tc>
          <w:tcPr>
            <w:tcW w:w="81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w:t>
            </w:r>
          </w:p>
        </w:tc>
      </w:tr>
      <w:tr w:rsidR="004D3217" w:rsidTr="00C11C24">
        <w:trPr>
          <w:trHeight w:hRule="exact" w:val="737"/>
        </w:trPr>
        <w:tc>
          <w:tcPr>
            <w:tcW w:w="678" w:type="pct"/>
            <w:tcBorders>
              <w:top w:val="single" w:sz="4" w:space="0" w:color="auto"/>
              <w:left w:val="single" w:sz="4" w:space="0" w:color="auto"/>
              <w:bottom w:val="single" w:sz="4" w:space="0" w:color="auto"/>
              <w:right w:val="single" w:sz="4" w:space="0" w:color="auto"/>
            </w:tcBorders>
            <w:noWrap/>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30M</w:t>
            </w:r>
          </w:p>
        </w:tc>
        <w:tc>
          <w:tcPr>
            <w:tcW w:w="96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4</w:t>
            </w:r>
          </w:p>
        </w:tc>
        <w:tc>
          <w:tcPr>
            <w:tcW w:w="1120"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15.88</w:t>
            </w:r>
          </w:p>
        </w:tc>
        <w:tc>
          <w:tcPr>
            <w:tcW w:w="895"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7.940</w:t>
            </w:r>
          </w:p>
        </w:tc>
        <w:tc>
          <w:tcPr>
            <w:tcW w:w="521" w:type="pct"/>
            <w:vMerge/>
            <w:tcBorders>
              <w:left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p>
        </w:tc>
        <w:tc>
          <w:tcPr>
            <w:tcW w:w="81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w:t>
            </w:r>
          </w:p>
        </w:tc>
      </w:tr>
      <w:tr w:rsidR="004D3217" w:rsidTr="00C11C24">
        <w:trPr>
          <w:trHeight w:hRule="exact" w:val="737"/>
        </w:trPr>
        <w:tc>
          <w:tcPr>
            <w:tcW w:w="678" w:type="pct"/>
            <w:tcBorders>
              <w:top w:val="single" w:sz="4" w:space="0" w:color="auto"/>
              <w:left w:val="single" w:sz="4" w:space="0" w:color="auto"/>
              <w:bottom w:val="single" w:sz="4" w:space="0" w:color="auto"/>
              <w:right w:val="single" w:sz="4" w:space="0" w:color="auto"/>
            </w:tcBorders>
            <w:noWrap/>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50M</w:t>
            </w:r>
          </w:p>
        </w:tc>
        <w:tc>
          <w:tcPr>
            <w:tcW w:w="96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4</w:t>
            </w:r>
          </w:p>
        </w:tc>
        <w:tc>
          <w:tcPr>
            <w:tcW w:w="1120"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28.6</w:t>
            </w:r>
          </w:p>
        </w:tc>
        <w:tc>
          <w:tcPr>
            <w:tcW w:w="895"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14.30</w:t>
            </w:r>
          </w:p>
        </w:tc>
        <w:tc>
          <w:tcPr>
            <w:tcW w:w="521" w:type="pct"/>
            <w:vMerge/>
            <w:tcBorders>
              <w:left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p>
        </w:tc>
        <w:tc>
          <w:tcPr>
            <w:tcW w:w="81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w:t>
            </w:r>
          </w:p>
        </w:tc>
      </w:tr>
      <w:tr w:rsidR="004D3217" w:rsidTr="00C11C24">
        <w:trPr>
          <w:trHeight w:hRule="exact" w:val="737"/>
        </w:trPr>
        <w:tc>
          <w:tcPr>
            <w:tcW w:w="678" w:type="pct"/>
            <w:tcBorders>
              <w:top w:val="single" w:sz="4" w:space="0" w:color="auto"/>
              <w:left w:val="single" w:sz="4" w:space="0" w:color="auto"/>
              <w:bottom w:val="single" w:sz="4" w:space="0" w:color="auto"/>
              <w:right w:val="single" w:sz="4" w:space="0" w:color="auto"/>
            </w:tcBorders>
            <w:noWrap/>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100M</w:t>
            </w:r>
          </w:p>
        </w:tc>
        <w:tc>
          <w:tcPr>
            <w:tcW w:w="96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8</w:t>
            </w:r>
          </w:p>
        </w:tc>
        <w:tc>
          <w:tcPr>
            <w:tcW w:w="1120"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40.00</w:t>
            </w:r>
          </w:p>
        </w:tc>
        <w:tc>
          <w:tcPr>
            <w:tcW w:w="895"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20.00</w:t>
            </w:r>
          </w:p>
        </w:tc>
        <w:tc>
          <w:tcPr>
            <w:tcW w:w="521" w:type="pct"/>
            <w:vMerge/>
            <w:tcBorders>
              <w:left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p>
        </w:tc>
        <w:tc>
          <w:tcPr>
            <w:tcW w:w="81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w:t>
            </w:r>
          </w:p>
        </w:tc>
      </w:tr>
      <w:tr w:rsidR="004D3217" w:rsidTr="00C11C24">
        <w:trPr>
          <w:trHeight w:hRule="exact" w:val="737"/>
        </w:trPr>
        <w:tc>
          <w:tcPr>
            <w:tcW w:w="678" w:type="pct"/>
            <w:tcBorders>
              <w:top w:val="single" w:sz="4" w:space="0" w:color="auto"/>
              <w:left w:val="single" w:sz="4" w:space="0" w:color="auto"/>
              <w:bottom w:val="single" w:sz="4" w:space="0" w:color="auto"/>
              <w:right w:val="single" w:sz="4" w:space="0" w:color="auto"/>
            </w:tcBorders>
            <w:noWrap/>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150M</w:t>
            </w:r>
          </w:p>
        </w:tc>
        <w:tc>
          <w:tcPr>
            <w:tcW w:w="96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8</w:t>
            </w:r>
          </w:p>
        </w:tc>
        <w:tc>
          <w:tcPr>
            <w:tcW w:w="1120"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56.00</w:t>
            </w:r>
          </w:p>
        </w:tc>
        <w:tc>
          <w:tcPr>
            <w:tcW w:w="895"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28.00</w:t>
            </w:r>
          </w:p>
        </w:tc>
        <w:tc>
          <w:tcPr>
            <w:tcW w:w="521" w:type="pct"/>
            <w:vMerge/>
            <w:tcBorders>
              <w:left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p>
        </w:tc>
        <w:tc>
          <w:tcPr>
            <w:tcW w:w="81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w:t>
            </w:r>
          </w:p>
        </w:tc>
      </w:tr>
      <w:tr w:rsidR="004D3217" w:rsidTr="00C11C24">
        <w:trPr>
          <w:trHeight w:hRule="exact" w:val="737"/>
        </w:trPr>
        <w:tc>
          <w:tcPr>
            <w:tcW w:w="678" w:type="pct"/>
            <w:tcBorders>
              <w:top w:val="single" w:sz="4" w:space="0" w:color="auto"/>
              <w:left w:val="single" w:sz="4" w:space="0" w:color="auto"/>
              <w:bottom w:val="single" w:sz="4" w:space="0" w:color="auto"/>
              <w:right w:val="single" w:sz="4" w:space="0" w:color="auto"/>
            </w:tcBorders>
            <w:noWrap/>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200M</w:t>
            </w:r>
          </w:p>
        </w:tc>
        <w:tc>
          <w:tcPr>
            <w:tcW w:w="96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16</w:t>
            </w:r>
          </w:p>
        </w:tc>
        <w:tc>
          <w:tcPr>
            <w:tcW w:w="1120"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70.00</w:t>
            </w:r>
          </w:p>
        </w:tc>
        <w:tc>
          <w:tcPr>
            <w:tcW w:w="895"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35.00</w:t>
            </w:r>
          </w:p>
        </w:tc>
        <w:tc>
          <w:tcPr>
            <w:tcW w:w="521" w:type="pct"/>
            <w:vMerge/>
            <w:tcBorders>
              <w:left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p>
        </w:tc>
        <w:tc>
          <w:tcPr>
            <w:tcW w:w="81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w:t>
            </w:r>
          </w:p>
        </w:tc>
      </w:tr>
      <w:tr w:rsidR="004D3217" w:rsidTr="00C11C24">
        <w:trPr>
          <w:trHeight w:hRule="exact" w:val="737"/>
        </w:trPr>
        <w:tc>
          <w:tcPr>
            <w:tcW w:w="678" w:type="pct"/>
            <w:tcBorders>
              <w:top w:val="single" w:sz="4" w:space="0" w:color="auto"/>
              <w:left w:val="single" w:sz="4" w:space="0" w:color="auto"/>
              <w:bottom w:val="single" w:sz="4" w:space="0" w:color="auto"/>
              <w:right w:val="single" w:sz="4" w:space="0" w:color="auto"/>
            </w:tcBorders>
            <w:noWrap/>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300M</w:t>
            </w:r>
          </w:p>
        </w:tc>
        <w:tc>
          <w:tcPr>
            <w:tcW w:w="96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16</w:t>
            </w:r>
          </w:p>
        </w:tc>
        <w:tc>
          <w:tcPr>
            <w:tcW w:w="1120"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ind w:firstLineChars="100" w:firstLine="210"/>
              <w:jc w:val="center"/>
              <w:rPr>
                <w:rFonts w:ascii="Times New Roman" w:eastAsia="微软雅黑" w:hAnsi="Times New Roman"/>
                <w:b/>
                <w:kern w:val="0"/>
                <w:szCs w:val="24"/>
              </w:rPr>
            </w:pPr>
            <w:r w:rsidRPr="009E7F19">
              <w:rPr>
                <w:rFonts w:ascii="Times New Roman" w:eastAsia="微软雅黑" w:hAnsi="Times New Roman"/>
                <w:b/>
                <w:kern w:val="0"/>
                <w:szCs w:val="24"/>
              </w:rPr>
              <w:t>110.00</w:t>
            </w:r>
          </w:p>
        </w:tc>
        <w:tc>
          <w:tcPr>
            <w:tcW w:w="895"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55.00</w:t>
            </w:r>
          </w:p>
        </w:tc>
        <w:tc>
          <w:tcPr>
            <w:tcW w:w="521" w:type="pct"/>
            <w:vMerge/>
            <w:tcBorders>
              <w:left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p>
        </w:tc>
        <w:tc>
          <w:tcPr>
            <w:tcW w:w="81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w:t>
            </w:r>
          </w:p>
        </w:tc>
      </w:tr>
      <w:tr w:rsidR="004D3217" w:rsidTr="00C11C24">
        <w:trPr>
          <w:trHeight w:hRule="exact" w:val="737"/>
        </w:trPr>
        <w:tc>
          <w:tcPr>
            <w:tcW w:w="678" w:type="pct"/>
            <w:tcBorders>
              <w:top w:val="single" w:sz="4" w:space="0" w:color="auto"/>
              <w:left w:val="single" w:sz="4" w:space="0" w:color="auto"/>
              <w:bottom w:val="single" w:sz="4" w:space="0" w:color="auto"/>
              <w:right w:val="single" w:sz="4" w:space="0" w:color="auto"/>
            </w:tcBorders>
            <w:noWrap/>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400M</w:t>
            </w:r>
          </w:p>
        </w:tc>
        <w:tc>
          <w:tcPr>
            <w:tcW w:w="96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32</w:t>
            </w:r>
          </w:p>
        </w:tc>
        <w:tc>
          <w:tcPr>
            <w:tcW w:w="1120"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136.00</w:t>
            </w:r>
          </w:p>
        </w:tc>
        <w:tc>
          <w:tcPr>
            <w:tcW w:w="895"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68.00</w:t>
            </w:r>
          </w:p>
        </w:tc>
        <w:tc>
          <w:tcPr>
            <w:tcW w:w="521" w:type="pct"/>
            <w:vMerge/>
            <w:tcBorders>
              <w:left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p>
        </w:tc>
        <w:tc>
          <w:tcPr>
            <w:tcW w:w="81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w:t>
            </w:r>
          </w:p>
        </w:tc>
      </w:tr>
      <w:tr w:rsidR="004D3217" w:rsidTr="00C11C24">
        <w:trPr>
          <w:trHeight w:hRule="exact" w:val="737"/>
        </w:trPr>
        <w:tc>
          <w:tcPr>
            <w:tcW w:w="678" w:type="pct"/>
            <w:tcBorders>
              <w:top w:val="single" w:sz="4" w:space="0" w:color="auto"/>
              <w:left w:val="single" w:sz="4" w:space="0" w:color="auto"/>
              <w:bottom w:val="single" w:sz="4" w:space="0" w:color="auto"/>
              <w:right w:val="single" w:sz="4" w:space="0" w:color="auto"/>
            </w:tcBorders>
            <w:noWrap/>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500M</w:t>
            </w:r>
          </w:p>
        </w:tc>
        <w:tc>
          <w:tcPr>
            <w:tcW w:w="96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32</w:t>
            </w:r>
          </w:p>
        </w:tc>
        <w:tc>
          <w:tcPr>
            <w:tcW w:w="1120"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176.00</w:t>
            </w:r>
          </w:p>
        </w:tc>
        <w:tc>
          <w:tcPr>
            <w:tcW w:w="895"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88.00</w:t>
            </w:r>
          </w:p>
        </w:tc>
        <w:tc>
          <w:tcPr>
            <w:tcW w:w="521" w:type="pct"/>
            <w:vMerge/>
            <w:tcBorders>
              <w:left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p>
        </w:tc>
        <w:tc>
          <w:tcPr>
            <w:tcW w:w="81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w:t>
            </w:r>
          </w:p>
        </w:tc>
      </w:tr>
      <w:tr w:rsidR="004D3217" w:rsidTr="00C11C24">
        <w:trPr>
          <w:trHeight w:hRule="exact" w:val="737"/>
        </w:trPr>
        <w:tc>
          <w:tcPr>
            <w:tcW w:w="678" w:type="pct"/>
            <w:tcBorders>
              <w:top w:val="single" w:sz="4" w:space="0" w:color="auto"/>
              <w:left w:val="single" w:sz="4" w:space="0" w:color="auto"/>
              <w:bottom w:val="single" w:sz="4" w:space="0" w:color="auto"/>
              <w:right w:val="single" w:sz="4" w:space="0" w:color="auto"/>
            </w:tcBorders>
            <w:noWrap/>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700M</w:t>
            </w:r>
          </w:p>
        </w:tc>
        <w:tc>
          <w:tcPr>
            <w:tcW w:w="96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40</w:t>
            </w:r>
          </w:p>
        </w:tc>
        <w:tc>
          <w:tcPr>
            <w:tcW w:w="1120"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250.00</w:t>
            </w:r>
          </w:p>
        </w:tc>
        <w:tc>
          <w:tcPr>
            <w:tcW w:w="895"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125.00</w:t>
            </w:r>
          </w:p>
        </w:tc>
        <w:tc>
          <w:tcPr>
            <w:tcW w:w="521" w:type="pct"/>
            <w:vMerge/>
            <w:tcBorders>
              <w:left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p>
        </w:tc>
        <w:tc>
          <w:tcPr>
            <w:tcW w:w="81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w:t>
            </w:r>
          </w:p>
        </w:tc>
      </w:tr>
      <w:tr w:rsidR="004D3217" w:rsidTr="00C11C24">
        <w:trPr>
          <w:trHeight w:hRule="exact" w:val="737"/>
        </w:trPr>
        <w:tc>
          <w:tcPr>
            <w:tcW w:w="678" w:type="pct"/>
            <w:tcBorders>
              <w:top w:val="single" w:sz="4" w:space="0" w:color="auto"/>
              <w:left w:val="single" w:sz="4" w:space="0" w:color="auto"/>
              <w:bottom w:val="single" w:sz="4" w:space="0" w:color="auto"/>
              <w:right w:val="single" w:sz="4" w:space="0" w:color="auto"/>
            </w:tcBorders>
            <w:noWrap/>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1G</w:t>
            </w:r>
          </w:p>
        </w:tc>
        <w:tc>
          <w:tcPr>
            <w:tcW w:w="96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128</w:t>
            </w:r>
          </w:p>
        </w:tc>
        <w:tc>
          <w:tcPr>
            <w:tcW w:w="1120"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320.00</w:t>
            </w:r>
          </w:p>
        </w:tc>
        <w:tc>
          <w:tcPr>
            <w:tcW w:w="895"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160.00</w:t>
            </w:r>
          </w:p>
        </w:tc>
        <w:tc>
          <w:tcPr>
            <w:tcW w:w="521" w:type="pct"/>
            <w:vMerge/>
            <w:tcBorders>
              <w:left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p>
        </w:tc>
        <w:tc>
          <w:tcPr>
            <w:tcW w:w="81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w:t>
            </w:r>
          </w:p>
        </w:tc>
      </w:tr>
      <w:tr w:rsidR="004D3217" w:rsidTr="00C11C24">
        <w:trPr>
          <w:trHeight w:hRule="exact" w:val="737"/>
        </w:trPr>
        <w:tc>
          <w:tcPr>
            <w:tcW w:w="678" w:type="pct"/>
            <w:tcBorders>
              <w:top w:val="single" w:sz="4" w:space="0" w:color="auto"/>
              <w:left w:val="single" w:sz="4" w:space="0" w:color="auto"/>
              <w:bottom w:val="single" w:sz="4" w:space="0" w:color="auto"/>
              <w:right w:val="single" w:sz="4" w:space="0" w:color="auto"/>
            </w:tcBorders>
            <w:noWrap/>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1.5G</w:t>
            </w:r>
          </w:p>
        </w:tc>
        <w:tc>
          <w:tcPr>
            <w:tcW w:w="96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128</w:t>
            </w:r>
          </w:p>
        </w:tc>
        <w:tc>
          <w:tcPr>
            <w:tcW w:w="1120"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400.00</w:t>
            </w:r>
          </w:p>
        </w:tc>
        <w:tc>
          <w:tcPr>
            <w:tcW w:w="895"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200.00</w:t>
            </w:r>
          </w:p>
        </w:tc>
        <w:tc>
          <w:tcPr>
            <w:tcW w:w="521" w:type="pct"/>
            <w:vMerge/>
            <w:tcBorders>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p>
        </w:tc>
        <w:tc>
          <w:tcPr>
            <w:tcW w:w="818" w:type="pct"/>
            <w:tcBorders>
              <w:top w:val="single" w:sz="4" w:space="0" w:color="auto"/>
              <w:left w:val="single" w:sz="4" w:space="0" w:color="auto"/>
              <w:bottom w:val="single" w:sz="4" w:space="0" w:color="auto"/>
              <w:right w:val="single" w:sz="4" w:space="0" w:color="auto"/>
            </w:tcBorders>
            <w:vAlign w:val="center"/>
          </w:tcPr>
          <w:p w:rsidR="004D3217" w:rsidRPr="009E7F19" w:rsidRDefault="004D3217" w:rsidP="00C11C24">
            <w:pPr>
              <w:widowControl/>
              <w:spacing w:line="360" w:lineRule="auto"/>
              <w:jc w:val="center"/>
              <w:rPr>
                <w:rFonts w:ascii="Times New Roman" w:eastAsia="微软雅黑" w:hAnsi="Times New Roman"/>
                <w:b/>
                <w:kern w:val="0"/>
                <w:szCs w:val="24"/>
              </w:rPr>
            </w:pPr>
            <w:r w:rsidRPr="009E7F19">
              <w:rPr>
                <w:rFonts w:ascii="Times New Roman" w:eastAsia="微软雅黑" w:hAnsi="Times New Roman"/>
                <w:b/>
                <w:kern w:val="0"/>
                <w:szCs w:val="24"/>
              </w:rPr>
              <w:t>/</w:t>
            </w:r>
          </w:p>
        </w:tc>
      </w:tr>
    </w:tbl>
    <w:p w:rsidR="004D3217" w:rsidRDefault="004D3217" w:rsidP="004D3217">
      <w:pPr>
        <w:ind w:firstLineChars="200" w:firstLine="420"/>
      </w:pPr>
    </w:p>
    <w:p w:rsidR="004D3217" w:rsidRDefault="004D3217" w:rsidP="004D3217">
      <w:r>
        <w:br w:type="page"/>
      </w:r>
    </w:p>
    <w:p w:rsidR="004D3217" w:rsidRPr="00316740" w:rsidRDefault="004D3217" w:rsidP="004D3217">
      <w:pPr>
        <w:ind w:firstLineChars="200" w:firstLine="562"/>
        <w:jc w:val="center"/>
        <w:rPr>
          <w:rFonts w:ascii="黑体" w:eastAsia="黑体" w:hAnsi="黑体"/>
          <w:b/>
          <w:sz w:val="28"/>
        </w:rPr>
      </w:pPr>
      <w:r w:rsidRPr="00316740">
        <w:rPr>
          <w:rFonts w:ascii="黑体" w:eastAsia="黑体" w:hAnsi="黑体" w:hint="eastAsia"/>
          <w:b/>
          <w:sz w:val="28"/>
        </w:rPr>
        <w:lastRenderedPageBreak/>
        <w:t>针对本项目的服务承诺</w:t>
      </w:r>
    </w:p>
    <w:tbl>
      <w:tblPr>
        <w:tblW w:w="92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268"/>
        <w:gridCol w:w="6442"/>
      </w:tblGrid>
      <w:tr w:rsidR="004D3217" w:rsidTr="00C11C24">
        <w:trPr>
          <w:trHeight w:val="290"/>
        </w:trPr>
        <w:tc>
          <w:tcPr>
            <w:tcW w:w="562" w:type="dxa"/>
            <w:vAlign w:val="center"/>
          </w:tcPr>
          <w:p w:rsidR="004D3217" w:rsidRDefault="004D3217" w:rsidP="00C11C24">
            <w:pPr>
              <w:jc w:val="center"/>
              <w:rPr>
                <w:rFonts w:ascii="微软雅黑" w:eastAsia="微软雅黑" w:hAnsi="微软雅黑" w:cs="微软雅黑"/>
                <w:b/>
                <w:szCs w:val="24"/>
              </w:rPr>
            </w:pPr>
            <w:r>
              <w:rPr>
                <w:rFonts w:ascii="微软雅黑" w:eastAsia="微软雅黑" w:hAnsi="微软雅黑" w:cs="微软雅黑" w:hint="eastAsia"/>
                <w:b/>
                <w:szCs w:val="24"/>
              </w:rPr>
              <w:t>序号</w:t>
            </w:r>
          </w:p>
        </w:tc>
        <w:tc>
          <w:tcPr>
            <w:tcW w:w="2268" w:type="dxa"/>
            <w:vAlign w:val="center"/>
          </w:tcPr>
          <w:p w:rsidR="004D3217" w:rsidRDefault="004D3217" w:rsidP="00C11C24">
            <w:pPr>
              <w:jc w:val="center"/>
              <w:rPr>
                <w:rFonts w:ascii="微软雅黑" w:eastAsia="微软雅黑" w:hAnsi="微软雅黑" w:cs="微软雅黑"/>
                <w:b/>
                <w:szCs w:val="24"/>
              </w:rPr>
            </w:pPr>
            <w:r>
              <w:rPr>
                <w:rFonts w:ascii="微软雅黑" w:eastAsia="微软雅黑" w:hAnsi="微软雅黑" w:cs="微软雅黑" w:hint="eastAsia"/>
                <w:b/>
                <w:szCs w:val="24"/>
              </w:rPr>
              <w:t>服务项名称</w:t>
            </w:r>
          </w:p>
        </w:tc>
        <w:tc>
          <w:tcPr>
            <w:tcW w:w="6442" w:type="dxa"/>
            <w:vAlign w:val="center"/>
          </w:tcPr>
          <w:p w:rsidR="004D3217" w:rsidRDefault="004D3217" w:rsidP="00C11C24">
            <w:pPr>
              <w:jc w:val="center"/>
              <w:rPr>
                <w:rFonts w:ascii="微软雅黑" w:eastAsia="微软雅黑" w:hAnsi="微软雅黑" w:cs="微软雅黑"/>
                <w:b/>
                <w:szCs w:val="24"/>
              </w:rPr>
            </w:pPr>
            <w:r>
              <w:rPr>
                <w:rFonts w:ascii="微软雅黑" w:eastAsia="微软雅黑" w:hAnsi="微软雅黑" w:cs="微软雅黑" w:hint="eastAsia"/>
                <w:b/>
                <w:szCs w:val="24"/>
              </w:rPr>
              <w:t>服务标准</w:t>
            </w:r>
          </w:p>
        </w:tc>
      </w:tr>
      <w:tr w:rsidR="004D3217" w:rsidTr="00C11C24">
        <w:trPr>
          <w:trHeight w:val="290"/>
        </w:trPr>
        <w:tc>
          <w:tcPr>
            <w:tcW w:w="562" w:type="dxa"/>
            <w:vAlign w:val="center"/>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
                <w:szCs w:val="24"/>
              </w:rPr>
              <w:t>1</w:t>
            </w:r>
          </w:p>
        </w:tc>
        <w:tc>
          <w:tcPr>
            <w:tcW w:w="2268" w:type="dxa"/>
            <w:vAlign w:val="center"/>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
                <w:szCs w:val="24"/>
              </w:rPr>
              <w:t>专属服务团队</w:t>
            </w:r>
          </w:p>
        </w:tc>
        <w:tc>
          <w:tcPr>
            <w:tcW w:w="6442" w:type="dxa"/>
            <w:vAlign w:val="center"/>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Cs/>
                <w:szCs w:val="24"/>
              </w:rPr>
              <w:t>针对本项目指定专门的对口联系人和服务团队，并提供对口联系人、服务团队人员简介和7*24小时可提供服务的联系方式（固话和手机）。可根据采购人需要定期上门提供服务。</w:t>
            </w:r>
          </w:p>
        </w:tc>
      </w:tr>
      <w:tr w:rsidR="004D3217" w:rsidTr="00C11C24">
        <w:trPr>
          <w:trHeight w:val="290"/>
        </w:trPr>
        <w:tc>
          <w:tcPr>
            <w:tcW w:w="562" w:type="dxa"/>
            <w:vAlign w:val="center"/>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
                <w:szCs w:val="24"/>
              </w:rPr>
              <w:t>2</w:t>
            </w:r>
          </w:p>
        </w:tc>
        <w:tc>
          <w:tcPr>
            <w:tcW w:w="2268" w:type="dxa"/>
            <w:vAlign w:val="center"/>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
                <w:szCs w:val="24"/>
              </w:rPr>
              <w:t>不间断运行</w:t>
            </w:r>
          </w:p>
        </w:tc>
        <w:tc>
          <w:tcPr>
            <w:tcW w:w="6442" w:type="dxa"/>
            <w:vAlign w:val="center"/>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Cs/>
                <w:szCs w:val="24"/>
              </w:rPr>
              <w:t>具备为采购人提供所需的网络安全防护服务的能力，保证互联网接入服务7*24小时不间断安全运行，提供7*24小时运行状态监测和定期线路巡检维护。定期向采购人提供运行监测和巡检报告。</w:t>
            </w:r>
          </w:p>
        </w:tc>
      </w:tr>
      <w:tr w:rsidR="004D3217" w:rsidTr="00C11C24">
        <w:trPr>
          <w:trHeight w:val="290"/>
        </w:trPr>
        <w:tc>
          <w:tcPr>
            <w:tcW w:w="562" w:type="dxa"/>
            <w:vAlign w:val="center"/>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
                <w:szCs w:val="24"/>
              </w:rPr>
              <w:t>3</w:t>
            </w:r>
          </w:p>
        </w:tc>
        <w:tc>
          <w:tcPr>
            <w:tcW w:w="2268" w:type="dxa"/>
            <w:vAlign w:val="center"/>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
                <w:szCs w:val="24"/>
              </w:rPr>
              <w:t>故障申告与修复</w:t>
            </w:r>
          </w:p>
        </w:tc>
        <w:tc>
          <w:tcPr>
            <w:tcW w:w="6442" w:type="dxa"/>
            <w:vAlign w:val="center"/>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szCs w:val="24"/>
              </w:rPr>
              <w:t>具有IT化的故障响应调度系统。提供7*24小时故障申告服务热线，在接到采购人线路故障申告10分钟内做出响应，除不可抗力外，应在4小时内完成故障修复。故障修复进展实时以电话、短信或其它有效方式通知采购人。在故障修复后向采购人提供书面故障分析处理报告。</w:t>
            </w:r>
          </w:p>
        </w:tc>
      </w:tr>
      <w:tr w:rsidR="004D3217" w:rsidTr="00C11C24">
        <w:trPr>
          <w:trHeight w:val="290"/>
        </w:trPr>
        <w:tc>
          <w:tcPr>
            <w:tcW w:w="562" w:type="dxa"/>
            <w:vAlign w:val="center"/>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
                <w:szCs w:val="24"/>
              </w:rPr>
              <w:t>4</w:t>
            </w:r>
          </w:p>
        </w:tc>
        <w:tc>
          <w:tcPr>
            <w:tcW w:w="2268" w:type="dxa"/>
            <w:vAlign w:val="center"/>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
                <w:szCs w:val="24"/>
              </w:rPr>
              <w:t>异常操作告知</w:t>
            </w:r>
          </w:p>
        </w:tc>
        <w:tc>
          <w:tcPr>
            <w:tcW w:w="6442" w:type="dxa"/>
            <w:vAlign w:val="center"/>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szCs w:val="24"/>
              </w:rPr>
              <w:t>由于我方原因进行割接、升级和改造等操作，可能影响到采购人线路的正常使用时，至少提前72小时以书面形式通知采购人。</w:t>
            </w:r>
          </w:p>
        </w:tc>
      </w:tr>
      <w:tr w:rsidR="004D3217" w:rsidTr="00C11C24">
        <w:trPr>
          <w:trHeight w:val="290"/>
        </w:trPr>
        <w:tc>
          <w:tcPr>
            <w:tcW w:w="562" w:type="dxa"/>
            <w:vAlign w:val="center"/>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
                <w:szCs w:val="24"/>
              </w:rPr>
              <w:t>5</w:t>
            </w:r>
          </w:p>
        </w:tc>
        <w:tc>
          <w:tcPr>
            <w:tcW w:w="2268" w:type="dxa"/>
            <w:vAlign w:val="center"/>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
                <w:szCs w:val="24"/>
              </w:rPr>
              <w:t>应急保障</w:t>
            </w:r>
          </w:p>
        </w:tc>
        <w:tc>
          <w:tcPr>
            <w:tcW w:w="6442" w:type="dxa"/>
            <w:vAlign w:val="center"/>
          </w:tcPr>
          <w:p w:rsidR="004D3217" w:rsidRDefault="004D3217" w:rsidP="00C11C24">
            <w:pPr>
              <w:rPr>
                <w:rFonts w:ascii="微软雅黑" w:eastAsia="微软雅黑" w:hAnsi="微软雅黑" w:cs="微软雅黑"/>
                <w:szCs w:val="24"/>
              </w:rPr>
            </w:pPr>
            <w:r>
              <w:rPr>
                <w:rFonts w:ascii="微软雅黑" w:eastAsia="微软雅黑" w:hAnsi="微软雅黑" w:cs="微软雅黑" w:hint="eastAsia"/>
                <w:szCs w:val="24"/>
              </w:rPr>
              <w:t>充分保障采购人IP地址需求</w:t>
            </w:r>
          </w:p>
          <w:p w:rsidR="004D3217" w:rsidRDefault="004D3217" w:rsidP="00C11C24">
            <w:pPr>
              <w:rPr>
                <w:rFonts w:ascii="微软雅黑" w:eastAsia="微软雅黑" w:hAnsi="微软雅黑" w:cs="微软雅黑"/>
                <w:szCs w:val="24"/>
              </w:rPr>
            </w:pPr>
            <w:r>
              <w:rPr>
                <w:rFonts w:ascii="微软雅黑" w:eastAsia="微软雅黑" w:hAnsi="微软雅黑" w:cs="微软雅黑" w:hint="eastAsia"/>
                <w:szCs w:val="24"/>
              </w:rPr>
              <w:t>具有应急通信保障能力，可根据采购人需要在国家重大活动期间的提供重点专项服务保障，保证国庆、春节等节假日期间的服务连续性。可根据采购人业务需要提供紧急线路开通、突发带宽扩容等服务。可为所有采购人制定重点专项保障方案和应急保障预案。</w:t>
            </w:r>
          </w:p>
          <w:p w:rsidR="004D3217" w:rsidRDefault="004D3217" w:rsidP="00C11C24">
            <w:pPr>
              <w:rPr>
                <w:rFonts w:ascii="微软雅黑" w:eastAsia="微软雅黑" w:hAnsi="微软雅黑" w:cs="微软雅黑"/>
                <w:szCs w:val="24"/>
              </w:rPr>
            </w:pPr>
          </w:p>
        </w:tc>
      </w:tr>
      <w:tr w:rsidR="004D3217" w:rsidTr="00C11C24">
        <w:trPr>
          <w:trHeight w:val="290"/>
        </w:trPr>
        <w:tc>
          <w:tcPr>
            <w:tcW w:w="562" w:type="dxa"/>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
                <w:szCs w:val="24"/>
              </w:rPr>
              <w:lastRenderedPageBreak/>
              <w:t>6</w:t>
            </w:r>
          </w:p>
        </w:tc>
        <w:tc>
          <w:tcPr>
            <w:tcW w:w="2268" w:type="dxa"/>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
                <w:szCs w:val="24"/>
              </w:rPr>
              <w:t>用户资料维护</w:t>
            </w:r>
          </w:p>
        </w:tc>
        <w:tc>
          <w:tcPr>
            <w:tcW w:w="6442" w:type="dxa"/>
          </w:tcPr>
          <w:p w:rsidR="004D3217" w:rsidRDefault="004D3217" w:rsidP="00C11C24">
            <w:pPr>
              <w:rPr>
                <w:rFonts w:ascii="微软雅黑" w:eastAsia="微软雅黑" w:hAnsi="微软雅黑" w:cs="微软雅黑"/>
                <w:szCs w:val="24"/>
              </w:rPr>
            </w:pPr>
            <w:r>
              <w:rPr>
                <w:rFonts w:ascii="微软雅黑" w:eastAsia="微软雅黑" w:hAnsi="微软雅黑" w:cs="微软雅黑" w:hint="eastAsia"/>
                <w:szCs w:val="24"/>
              </w:rPr>
              <w:t>为所有采购人建立用户资料，对用户接入涉及的线路资源进行标记，可根据采购人要求，汇总和提交已采购互联网接入服务的商务和技术资料档案</w:t>
            </w:r>
          </w:p>
        </w:tc>
      </w:tr>
      <w:tr w:rsidR="004D3217" w:rsidTr="00C11C24">
        <w:trPr>
          <w:trHeight w:val="290"/>
        </w:trPr>
        <w:tc>
          <w:tcPr>
            <w:tcW w:w="562" w:type="dxa"/>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
                <w:szCs w:val="24"/>
              </w:rPr>
              <w:t>7</w:t>
            </w:r>
          </w:p>
        </w:tc>
        <w:tc>
          <w:tcPr>
            <w:tcW w:w="2268" w:type="dxa"/>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
                <w:szCs w:val="24"/>
              </w:rPr>
              <w:t>平滑过渡</w:t>
            </w:r>
          </w:p>
        </w:tc>
        <w:tc>
          <w:tcPr>
            <w:tcW w:w="6442" w:type="dxa"/>
          </w:tcPr>
          <w:p w:rsidR="004D3217" w:rsidRDefault="004D3217" w:rsidP="00C11C24">
            <w:pPr>
              <w:rPr>
                <w:rFonts w:ascii="微软雅黑" w:eastAsia="微软雅黑" w:hAnsi="微软雅黑" w:cs="微软雅黑"/>
                <w:szCs w:val="24"/>
              </w:rPr>
            </w:pPr>
            <w:r>
              <w:rPr>
                <w:rFonts w:ascii="微软雅黑" w:eastAsia="微软雅黑" w:hAnsi="微软雅黑" w:cs="微软雅黑" w:hint="eastAsia"/>
                <w:szCs w:val="24"/>
              </w:rPr>
              <w:t>由于更换互联网接入服务供应商导致采购人需要对既有线路进行割接等操作的，应保证配合采购人完成相关工作，不得以任何理由拒绝采购人提出的合理资源配合和人员保障要求。</w:t>
            </w:r>
          </w:p>
        </w:tc>
      </w:tr>
      <w:tr w:rsidR="004D3217" w:rsidTr="00C11C24">
        <w:trPr>
          <w:trHeight w:val="290"/>
        </w:trPr>
        <w:tc>
          <w:tcPr>
            <w:tcW w:w="562" w:type="dxa"/>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
                <w:szCs w:val="24"/>
              </w:rPr>
              <w:t>8</w:t>
            </w:r>
          </w:p>
        </w:tc>
        <w:tc>
          <w:tcPr>
            <w:tcW w:w="2268" w:type="dxa"/>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
                <w:szCs w:val="24"/>
              </w:rPr>
              <w:t>使用培训服务</w:t>
            </w:r>
          </w:p>
        </w:tc>
        <w:tc>
          <w:tcPr>
            <w:tcW w:w="6442" w:type="dxa"/>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szCs w:val="24"/>
              </w:rPr>
              <w:t>可根据采购人要求提供所互联网接入服务使用方面的技术培训，并提供相应的培训文档。</w:t>
            </w:r>
          </w:p>
        </w:tc>
      </w:tr>
      <w:tr w:rsidR="004D3217" w:rsidTr="00C11C24">
        <w:trPr>
          <w:trHeight w:val="290"/>
        </w:trPr>
        <w:tc>
          <w:tcPr>
            <w:tcW w:w="562" w:type="dxa"/>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
                <w:szCs w:val="24"/>
              </w:rPr>
              <w:t>9</w:t>
            </w:r>
          </w:p>
        </w:tc>
        <w:tc>
          <w:tcPr>
            <w:tcW w:w="2268" w:type="dxa"/>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
                <w:szCs w:val="24"/>
              </w:rPr>
              <w:t>价格保障</w:t>
            </w:r>
          </w:p>
        </w:tc>
        <w:tc>
          <w:tcPr>
            <w:tcW w:w="6442" w:type="dxa"/>
          </w:tcPr>
          <w:p w:rsidR="004D3217" w:rsidRDefault="004D3217" w:rsidP="00C11C24">
            <w:pPr>
              <w:rPr>
                <w:rFonts w:ascii="微软雅黑" w:eastAsia="微软雅黑" w:hAnsi="微软雅黑" w:cs="微软雅黑"/>
                <w:szCs w:val="24"/>
              </w:rPr>
            </w:pPr>
            <w:r>
              <w:rPr>
                <w:rFonts w:ascii="微软雅黑" w:eastAsia="微软雅黑" w:hAnsi="微软雅黑" w:cs="微软雅黑" w:hint="eastAsia"/>
                <w:szCs w:val="24"/>
              </w:rPr>
              <w:t>在采购人一次性签订2年及以上合同或续签互联格网接入服务时，给予价格折扣或延长使用期限</w:t>
            </w:r>
          </w:p>
        </w:tc>
      </w:tr>
      <w:tr w:rsidR="004D3217" w:rsidTr="00C11C24">
        <w:trPr>
          <w:trHeight w:val="3220"/>
        </w:trPr>
        <w:tc>
          <w:tcPr>
            <w:tcW w:w="562" w:type="dxa"/>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
                <w:szCs w:val="24"/>
              </w:rPr>
              <w:t>10</w:t>
            </w:r>
          </w:p>
        </w:tc>
        <w:tc>
          <w:tcPr>
            <w:tcW w:w="2268" w:type="dxa"/>
          </w:tcPr>
          <w:p w:rsidR="004D3217" w:rsidRDefault="004D3217" w:rsidP="00C11C24">
            <w:pPr>
              <w:rPr>
                <w:rFonts w:ascii="微软雅黑" w:eastAsia="微软雅黑" w:hAnsi="微软雅黑" w:cs="微软雅黑"/>
                <w:b/>
                <w:szCs w:val="24"/>
              </w:rPr>
            </w:pPr>
            <w:r>
              <w:rPr>
                <w:rFonts w:ascii="微软雅黑" w:eastAsia="微软雅黑" w:hAnsi="微软雅黑" w:cs="微软雅黑" w:hint="eastAsia"/>
                <w:b/>
                <w:szCs w:val="24"/>
              </w:rPr>
              <w:t>技术规范承诺</w:t>
            </w:r>
          </w:p>
        </w:tc>
        <w:tc>
          <w:tcPr>
            <w:tcW w:w="6442" w:type="dxa"/>
          </w:tcPr>
          <w:p w:rsidR="004D3217" w:rsidRDefault="004D3217" w:rsidP="00C11C24">
            <w:pPr>
              <w:rPr>
                <w:rFonts w:ascii="微软雅黑" w:eastAsia="微软雅黑" w:hAnsi="微软雅黑" w:cs="微软雅黑"/>
                <w:bCs/>
                <w:szCs w:val="24"/>
              </w:rPr>
            </w:pPr>
            <w:r>
              <w:rPr>
                <w:rFonts w:ascii="微软雅黑" w:eastAsia="微软雅黑" w:hAnsi="微软雅黑" w:cs="微软雅黑" w:hint="eastAsia"/>
                <w:bCs/>
                <w:szCs w:val="24"/>
              </w:rPr>
              <w:t>1、提供的互联网接入服务应符合《工业和信息化部关于印发&lt;互联网接入服务规范&gt;的通知》（工信部电管〔2013〕261号）所规定的服务质量和通信质量指标要求。</w:t>
            </w:r>
          </w:p>
          <w:p w:rsidR="004D3217" w:rsidRDefault="004D3217" w:rsidP="00C11C24">
            <w:pPr>
              <w:rPr>
                <w:rFonts w:ascii="微软雅黑" w:eastAsia="微软雅黑" w:hAnsi="微软雅黑" w:cs="微软雅黑"/>
                <w:bCs/>
                <w:szCs w:val="24"/>
              </w:rPr>
            </w:pPr>
            <w:r>
              <w:rPr>
                <w:rFonts w:ascii="微软雅黑" w:eastAsia="微软雅黑" w:hAnsi="微软雅黑" w:cs="微软雅黑" w:hint="eastAsia"/>
                <w:bCs/>
                <w:szCs w:val="24"/>
              </w:rPr>
              <w:t>2、提供互联网接入服务的技术规范、产品质量以及为提供服务所使用的接入、传输、交换等各类软硬件资源均应符合中央网信办、工信部和其他相关行业主管部门的强制性、规范性要求。</w:t>
            </w:r>
          </w:p>
          <w:p w:rsidR="004D3217" w:rsidRDefault="004D3217" w:rsidP="00C11C24">
            <w:pPr>
              <w:rPr>
                <w:rFonts w:ascii="微软雅黑" w:eastAsia="微软雅黑" w:hAnsi="微软雅黑" w:cs="微软雅黑"/>
                <w:szCs w:val="24"/>
              </w:rPr>
            </w:pPr>
            <w:r>
              <w:rPr>
                <w:rFonts w:ascii="微软雅黑" w:eastAsia="微软雅黑" w:hAnsi="微软雅黑" w:cs="微软雅黑" w:hint="eastAsia"/>
                <w:bCs/>
                <w:szCs w:val="24"/>
              </w:rPr>
              <w:t>3、提供的互联网接入服务的实际上下行速率、时延、丢包率等技术指标均应与响应人响应时承诺提供的产品技术指标保持一致。</w:t>
            </w:r>
          </w:p>
        </w:tc>
      </w:tr>
    </w:tbl>
    <w:p w:rsidR="0049580F" w:rsidRPr="004D3217" w:rsidRDefault="0049580F" w:rsidP="004D3217"/>
    <w:sectPr w:rsidR="0049580F" w:rsidRPr="004D3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9C"/>
    <w:rsid w:val="000A78A4"/>
    <w:rsid w:val="00163210"/>
    <w:rsid w:val="001A5BA6"/>
    <w:rsid w:val="001C32E8"/>
    <w:rsid w:val="001D5C66"/>
    <w:rsid w:val="002A10EF"/>
    <w:rsid w:val="002A4F71"/>
    <w:rsid w:val="00322C94"/>
    <w:rsid w:val="00467A1B"/>
    <w:rsid w:val="004850A4"/>
    <w:rsid w:val="0049580F"/>
    <w:rsid w:val="004A4668"/>
    <w:rsid w:val="004C4415"/>
    <w:rsid w:val="004D3217"/>
    <w:rsid w:val="00623EDE"/>
    <w:rsid w:val="007E06EF"/>
    <w:rsid w:val="008C549C"/>
    <w:rsid w:val="00AB4281"/>
    <w:rsid w:val="00C10E3E"/>
    <w:rsid w:val="00EC7173"/>
    <w:rsid w:val="00ED5CC5"/>
    <w:rsid w:val="00FA5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A6"/>
    <w:pPr>
      <w:widowControl w:val="0"/>
      <w:jc w:val="both"/>
    </w:pPr>
    <w:rPr>
      <w:rFonts w:ascii="宋体" w:eastAsia="宋体" w:hAnsi="宋体" w:cs="Times New Roman"/>
    </w:rPr>
  </w:style>
  <w:style w:type="paragraph" w:styleId="2">
    <w:name w:val="heading 2"/>
    <w:basedOn w:val="a"/>
    <w:next w:val="a"/>
    <w:link w:val="2Char"/>
    <w:uiPriority w:val="9"/>
    <w:unhideWhenUsed/>
    <w:qFormat/>
    <w:rsid w:val="001A5BA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A5BA6"/>
    <w:rPr>
      <w:rFonts w:asciiTheme="majorHAnsi" w:eastAsiaTheme="majorEastAsia" w:hAnsiTheme="majorHAnsi" w:cstheme="majorBidi"/>
      <w:b/>
      <w:bCs/>
      <w:sz w:val="32"/>
      <w:szCs w:val="32"/>
    </w:rPr>
  </w:style>
  <w:style w:type="paragraph" w:styleId="a3">
    <w:name w:val="Balloon Text"/>
    <w:basedOn w:val="a"/>
    <w:link w:val="Char"/>
    <w:uiPriority w:val="99"/>
    <w:semiHidden/>
    <w:unhideWhenUsed/>
    <w:rsid w:val="002A10EF"/>
    <w:rPr>
      <w:sz w:val="18"/>
      <w:szCs w:val="18"/>
    </w:rPr>
  </w:style>
  <w:style w:type="character" w:customStyle="1" w:styleId="Char">
    <w:name w:val="批注框文本 Char"/>
    <w:basedOn w:val="a0"/>
    <w:link w:val="a3"/>
    <w:uiPriority w:val="99"/>
    <w:semiHidden/>
    <w:rsid w:val="002A10EF"/>
    <w:rPr>
      <w:rFonts w:ascii="宋体" w:eastAsia="宋体" w:hAnsi="宋体" w:cs="Times New Roman"/>
      <w:sz w:val="18"/>
      <w:szCs w:val="18"/>
    </w:rPr>
  </w:style>
  <w:style w:type="table" w:styleId="a4">
    <w:name w:val="Table Grid"/>
    <w:basedOn w:val="a1"/>
    <w:uiPriority w:val="59"/>
    <w:rsid w:val="00EC7173"/>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A6"/>
    <w:pPr>
      <w:widowControl w:val="0"/>
      <w:jc w:val="both"/>
    </w:pPr>
    <w:rPr>
      <w:rFonts w:ascii="宋体" w:eastAsia="宋体" w:hAnsi="宋体" w:cs="Times New Roman"/>
    </w:rPr>
  </w:style>
  <w:style w:type="paragraph" w:styleId="2">
    <w:name w:val="heading 2"/>
    <w:basedOn w:val="a"/>
    <w:next w:val="a"/>
    <w:link w:val="2Char"/>
    <w:uiPriority w:val="9"/>
    <w:unhideWhenUsed/>
    <w:qFormat/>
    <w:rsid w:val="001A5BA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A5BA6"/>
    <w:rPr>
      <w:rFonts w:asciiTheme="majorHAnsi" w:eastAsiaTheme="majorEastAsia" w:hAnsiTheme="majorHAnsi" w:cstheme="majorBidi"/>
      <w:b/>
      <w:bCs/>
      <w:sz w:val="32"/>
      <w:szCs w:val="32"/>
    </w:rPr>
  </w:style>
  <w:style w:type="paragraph" w:styleId="a3">
    <w:name w:val="Balloon Text"/>
    <w:basedOn w:val="a"/>
    <w:link w:val="Char"/>
    <w:uiPriority w:val="99"/>
    <w:semiHidden/>
    <w:unhideWhenUsed/>
    <w:rsid w:val="002A10EF"/>
    <w:rPr>
      <w:sz w:val="18"/>
      <w:szCs w:val="18"/>
    </w:rPr>
  </w:style>
  <w:style w:type="character" w:customStyle="1" w:styleId="Char">
    <w:name w:val="批注框文本 Char"/>
    <w:basedOn w:val="a0"/>
    <w:link w:val="a3"/>
    <w:uiPriority w:val="99"/>
    <w:semiHidden/>
    <w:rsid w:val="002A10EF"/>
    <w:rPr>
      <w:rFonts w:ascii="宋体" w:eastAsia="宋体" w:hAnsi="宋体" w:cs="Times New Roman"/>
      <w:sz w:val="18"/>
      <w:szCs w:val="18"/>
    </w:rPr>
  </w:style>
  <w:style w:type="table" w:styleId="a4">
    <w:name w:val="Table Grid"/>
    <w:basedOn w:val="a1"/>
    <w:uiPriority w:val="59"/>
    <w:rsid w:val="00EC7173"/>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吕名源</dc:creator>
  <cp:lastModifiedBy>吕名源</cp:lastModifiedBy>
  <cp:revision>2</cp:revision>
  <dcterms:created xsi:type="dcterms:W3CDTF">2021-02-05T04:47:00Z</dcterms:created>
  <dcterms:modified xsi:type="dcterms:W3CDTF">2021-02-05T04:47:00Z</dcterms:modified>
</cp:coreProperties>
</file>