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8D" w:rsidRDefault="0081478D">
      <w:pPr>
        <w:pStyle w:val="1"/>
        <w:jc w:val="center"/>
      </w:pPr>
      <w:r>
        <w:rPr>
          <w:rFonts w:hint="eastAsia"/>
        </w:rPr>
        <w:t>服务承</w:t>
      </w:r>
      <w:bookmarkStart w:id="0" w:name="_GoBack"/>
      <w:bookmarkEnd w:id="0"/>
      <w:r>
        <w:rPr>
          <w:rFonts w:hint="eastAsia"/>
        </w:rPr>
        <w:t>诺情况</w:t>
      </w:r>
    </w:p>
    <w:tbl>
      <w:tblPr>
        <w:tblW w:w="9064"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690"/>
        <w:gridCol w:w="2110"/>
        <w:gridCol w:w="1875"/>
        <w:gridCol w:w="2127"/>
        <w:gridCol w:w="2262"/>
      </w:tblGrid>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序号</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服务项目</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国家标准</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服务标准</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备注</w:t>
            </w:r>
          </w:p>
        </w:tc>
      </w:tr>
      <w:tr w:rsidR="0081478D" w:rsidTr="0081478D">
        <w:trPr>
          <w:trHeight w:val="426"/>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房屋完好率</w:t>
            </w:r>
          </w:p>
        </w:tc>
        <w:tc>
          <w:tcPr>
            <w:tcW w:w="1875"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2</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房屋及设备设施零修、急修及时率</w:t>
            </w:r>
          </w:p>
        </w:tc>
        <w:tc>
          <w:tcPr>
            <w:tcW w:w="1875"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99%</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399"/>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3</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维修工程质量合格率</w:t>
            </w:r>
          </w:p>
        </w:tc>
        <w:tc>
          <w:tcPr>
            <w:tcW w:w="1875"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99%</w:t>
            </w:r>
          </w:p>
        </w:tc>
        <w:tc>
          <w:tcPr>
            <w:tcW w:w="2127"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33"/>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4</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工程维修返修率</w:t>
            </w:r>
          </w:p>
        </w:tc>
        <w:tc>
          <w:tcPr>
            <w:tcW w:w="1875" w:type="dxa"/>
            <w:vAlign w:val="center"/>
          </w:tcPr>
          <w:p w:rsidR="0081478D" w:rsidRDefault="0081478D">
            <w:pPr>
              <w:snapToGrid w:val="0"/>
              <w:jc w:val="center"/>
              <w:rPr>
                <w:rFonts w:ascii="Arial" w:eastAsia="黑体" w:hAnsi="Arial" w:cs="Arial"/>
                <w:bCs/>
                <w:szCs w:val="21"/>
              </w:rPr>
            </w:pPr>
            <w:r>
              <w:rPr>
                <w:rFonts w:ascii="Arial" w:eastAsia="黑体" w:hAnsi="Arial" w:cs="Arial"/>
                <w:bCs/>
                <w:szCs w:val="21"/>
              </w:rPr>
              <w:t>≦</w:t>
            </w:r>
            <w:r>
              <w:rPr>
                <w:rFonts w:ascii="黑体" w:eastAsia="黑体" w:hAnsi="宋体" w:hint="eastAsia"/>
                <w:bCs/>
                <w:szCs w:val="21"/>
              </w:rPr>
              <w:t>1%</w:t>
            </w:r>
          </w:p>
        </w:tc>
        <w:tc>
          <w:tcPr>
            <w:tcW w:w="2127" w:type="dxa"/>
            <w:vAlign w:val="center"/>
          </w:tcPr>
          <w:p w:rsidR="0081478D" w:rsidRDefault="0081478D">
            <w:pPr>
              <w:snapToGrid w:val="0"/>
              <w:jc w:val="center"/>
              <w:rPr>
                <w:rFonts w:ascii="Arial" w:eastAsia="黑体" w:hAnsi="Arial" w:cs="Arial"/>
                <w:bCs/>
                <w:szCs w:val="21"/>
              </w:rPr>
            </w:pPr>
            <w:r>
              <w:rPr>
                <w:rFonts w:ascii="Arial" w:eastAsia="黑体" w:hAnsi="Arial" w:cs="Arial"/>
                <w:bCs/>
                <w:szCs w:val="21"/>
              </w:rPr>
              <w:t>≦</w:t>
            </w:r>
            <w:r>
              <w:rPr>
                <w:rFonts w:ascii="黑体" w:eastAsia="黑体" w:hAnsi="宋体" w:hint="eastAsia"/>
                <w:bCs/>
                <w:szCs w:val="21"/>
              </w:rPr>
              <w:t>1%</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396"/>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5</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维修工程回访率</w:t>
            </w:r>
          </w:p>
        </w:tc>
        <w:tc>
          <w:tcPr>
            <w:tcW w:w="1875"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99%</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6</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雨水井、污水井完好率</w:t>
            </w:r>
          </w:p>
        </w:tc>
        <w:tc>
          <w:tcPr>
            <w:tcW w:w="1875" w:type="dxa"/>
            <w:vAlign w:val="center"/>
          </w:tcPr>
          <w:p w:rsidR="0081478D" w:rsidRDefault="0081478D">
            <w:pPr>
              <w:snapToGrid w:val="0"/>
              <w:jc w:val="center"/>
              <w:rPr>
                <w:rFonts w:ascii="黑体" w:eastAsia="黑体" w:hAnsi="宋体"/>
                <w:bCs/>
                <w:szCs w:val="21"/>
              </w:rPr>
            </w:pPr>
            <w:r>
              <w:rPr>
                <w:rFonts w:ascii="Arial" w:eastAsia="黑体" w:hAnsi="Arial" w:cs="Arial"/>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7</w:t>
            </w:r>
          </w:p>
        </w:tc>
        <w:tc>
          <w:tcPr>
            <w:tcW w:w="2110" w:type="dxa"/>
            <w:vAlign w:val="center"/>
          </w:tcPr>
          <w:p w:rsidR="0081478D" w:rsidRDefault="0081478D">
            <w:pPr>
              <w:snapToGrid w:val="0"/>
              <w:jc w:val="center"/>
              <w:rPr>
                <w:rFonts w:ascii="黑体" w:eastAsia="黑体" w:hAnsi="宋体"/>
                <w:szCs w:val="21"/>
              </w:rPr>
            </w:pPr>
            <w:r>
              <w:rPr>
                <w:rFonts w:ascii="黑体" w:eastAsia="黑体" w:hAnsi="宋体" w:hint="eastAsia"/>
                <w:szCs w:val="21"/>
              </w:rPr>
              <w:t>排水管、明暗沟完好率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8</w:t>
            </w:r>
          </w:p>
        </w:tc>
        <w:tc>
          <w:tcPr>
            <w:tcW w:w="2110" w:type="dxa"/>
            <w:vAlign w:val="center"/>
          </w:tcPr>
          <w:p w:rsidR="0081478D" w:rsidRDefault="0081478D">
            <w:pPr>
              <w:snapToGrid w:val="0"/>
              <w:jc w:val="center"/>
              <w:rPr>
                <w:rFonts w:ascii="黑体" w:eastAsia="黑体" w:hAnsi="宋体"/>
                <w:szCs w:val="21"/>
              </w:rPr>
            </w:pPr>
            <w:r>
              <w:rPr>
                <w:rFonts w:ascii="黑体" w:eastAsia="黑体" w:hAnsi="宋体" w:hint="eastAsia"/>
                <w:szCs w:val="21"/>
              </w:rPr>
              <w:t>公共文体设施、休息设施等完好率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398"/>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9</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业主有效投诉率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1%</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1%</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05"/>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业主有效投诉处理率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11"/>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11</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弱电设施完好率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12</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供电设备及智能化系统运行完好率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40"/>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13</w:t>
            </w:r>
          </w:p>
        </w:tc>
        <w:tc>
          <w:tcPr>
            <w:tcW w:w="2110" w:type="dxa"/>
            <w:vAlign w:val="center"/>
          </w:tcPr>
          <w:p w:rsidR="0081478D" w:rsidRDefault="0081478D">
            <w:pPr>
              <w:snapToGrid w:val="0"/>
              <w:jc w:val="center"/>
              <w:rPr>
                <w:rFonts w:ascii="黑体" w:eastAsia="黑体" w:hAnsi="宋体"/>
                <w:szCs w:val="21"/>
              </w:rPr>
            </w:pPr>
            <w:r>
              <w:rPr>
                <w:rFonts w:ascii="黑体" w:eastAsia="黑体" w:hAnsi="宋体" w:hint="eastAsia"/>
                <w:szCs w:val="21"/>
              </w:rPr>
              <w:t>空调设备完好率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99%</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48"/>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14</w:t>
            </w:r>
          </w:p>
        </w:tc>
        <w:tc>
          <w:tcPr>
            <w:tcW w:w="2110" w:type="dxa"/>
            <w:vAlign w:val="center"/>
          </w:tcPr>
          <w:p w:rsidR="0081478D" w:rsidRDefault="0081478D">
            <w:pPr>
              <w:snapToGrid w:val="0"/>
              <w:jc w:val="center"/>
              <w:rPr>
                <w:rFonts w:ascii="黑体" w:eastAsia="黑体" w:hAnsi="宋体"/>
                <w:szCs w:val="21"/>
              </w:rPr>
            </w:pPr>
            <w:r>
              <w:rPr>
                <w:rFonts w:ascii="黑体" w:eastAsia="黑体" w:hAnsi="宋体" w:hint="eastAsia"/>
                <w:szCs w:val="21"/>
              </w:rPr>
              <w:t>电梯设备正常运行率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28"/>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15</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治安事件发生率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22"/>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16</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火灾发生率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402"/>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17</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事故发生处理率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396"/>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18</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消防设备设施完好率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19</w:t>
            </w:r>
          </w:p>
        </w:tc>
        <w:tc>
          <w:tcPr>
            <w:tcW w:w="2110" w:type="dxa"/>
            <w:vAlign w:val="center"/>
          </w:tcPr>
          <w:p w:rsidR="0081478D" w:rsidRDefault="0081478D">
            <w:pPr>
              <w:snapToGrid w:val="0"/>
              <w:jc w:val="center"/>
              <w:rPr>
                <w:rFonts w:ascii="黑体" w:eastAsia="黑体" w:hAnsi="宋体"/>
                <w:bCs/>
                <w:szCs w:val="21"/>
              </w:rPr>
            </w:pPr>
            <w:r>
              <w:rPr>
                <w:rFonts w:ascii="黑体" w:eastAsia="黑体" w:hAnsi="宋体" w:hint="eastAsia"/>
                <w:szCs w:val="21"/>
              </w:rPr>
              <w:t>本项目服务人员培训及持证上岗率</w:t>
            </w:r>
          </w:p>
        </w:tc>
        <w:tc>
          <w:tcPr>
            <w:tcW w:w="1875"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127"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100%</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20</w:t>
            </w:r>
          </w:p>
        </w:tc>
        <w:tc>
          <w:tcPr>
            <w:tcW w:w="2110" w:type="dxa"/>
            <w:vAlign w:val="center"/>
          </w:tcPr>
          <w:p w:rsidR="0081478D" w:rsidRDefault="0081478D">
            <w:pPr>
              <w:snapToGrid w:val="0"/>
              <w:jc w:val="center"/>
              <w:rPr>
                <w:rFonts w:ascii="黑体" w:eastAsia="黑体" w:hAnsi="宋体"/>
                <w:szCs w:val="21"/>
              </w:rPr>
            </w:pPr>
            <w:r>
              <w:rPr>
                <w:rFonts w:ascii="黑体" w:eastAsia="黑体" w:hAnsi="宋体" w:hint="eastAsia"/>
                <w:szCs w:val="21"/>
              </w:rPr>
              <w:t>用户对物业管理的满意率</w:t>
            </w:r>
          </w:p>
        </w:tc>
        <w:tc>
          <w:tcPr>
            <w:tcW w:w="1875"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95%</w:t>
            </w:r>
          </w:p>
        </w:tc>
        <w:tc>
          <w:tcPr>
            <w:tcW w:w="2127" w:type="dxa"/>
            <w:vAlign w:val="center"/>
          </w:tcPr>
          <w:p w:rsidR="0081478D" w:rsidRDefault="0081478D">
            <w:pPr>
              <w:snapToGrid w:val="0"/>
              <w:jc w:val="center"/>
              <w:rPr>
                <w:rFonts w:ascii="黑体" w:eastAsia="黑体" w:hAnsi="宋体"/>
                <w:bCs/>
                <w:szCs w:val="21"/>
              </w:rPr>
            </w:pPr>
            <w:r>
              <w:rPr>
                <w:rFonts w:ascii="宋体" w:hAnsi="宋体" w:cs="宋体" w:hint="eastAsia"/>
                <w:bCs/>
                <w:szCs w:val="21"/>
              </w:rPr>
              <w:t>≧</w:t>
            </w:r>
            <w:r>
              <w:rPr>
                <w:rFonts w:ascii="黑体" w:eastAsia="黑体" w:hAnsi="宋体" w:hint="eastAsia"/>
                <w:bCs/>
                <w:szCs w:val="21"/>
              </w:rPr>
              <w:t>98%</w:t>
            </w:r>
          </w:p>
        </w:tc>
        <w:tc>
          <w:tcPr>
            <w:tcW w:w="2262" w:type="dxa"/>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无</w:t>
            </w:r>
          </w:p>
        </w:tc>
      </w:tr>
      <w:tr w:rsidR="0081478D" w:rsidTr="0081478D">
        <w:trPr>
          <w:trHeight w:val="567"/>
          <w:jc w:val="center"/>
        </w:trPr>
        <w:tc>
          <w:tcPr>
            <w:tcW w:w="690" w:type="dxa"/>
            <w:tcBorders>
              <w:top w:val="single" w:sz="4" w:space="0" w:color="FF0000"/>
              <w:left w:val="single" w:sz="4" w:space="0" w:color="FF0000"/>
              <w:bottom w:val="single" w:sz="4" w:space="0" w:color="FF0000"/>
              <w:right w:val="single" w:sz="4" w:space="0" w:color="FF0000"/>
            </w:tcBorders>
            <w:vAlign w:val="center"/>
          </w:tcPr>
          <w:p w:rsidR="0081478D" w:rsidRDefault="0081478D">
            <w:pPr>
              <w:snapToGrid w:val="0"/>
              <w:jc w:val="center"/>
              <w:rPr>
                <w:rFonts w:ascii="黑体" w:eastAsia="黑体" w:hAnsi="宋体"/>
                <w:bCs/>
                <w:szCs w:val="21"/>
              </w:rPr>
            </w:pPr>
            <w:r>
              <w:rPr>
                <w:rFonts w:ascii="黑体" w:eastAsia="黑体" w:hAnsi="宋体" w:hint="eastAsia"/>
                <w:bCs/>
                <w:szCs w:val="21"/>
              </w:rPr>
              <w:t>21</w:t>
            </w:r>
          </w:p>
        </w:tc>
        <w:tc>
          <w:tcPr>
            <w:tcW w:w="2110" w:type="dxa"/>
            <w:tcBorders>
              <w:top w:val="single" w:sz="4" w:space="0" w:color="FF0000"/>
              <w:left w:val="single" w:sz="4" w:space="0" w:color="FF0000"/>
              <w:bottom w:val="single" w:sz="4" w:space="0" w:color="FF0000"/>
              <w:right w:val="single" w:sz="4" w:space="0" w:color="FF0000"/>
            </w:tcBorders>
            <w:vAlign w:val="center"/>
          </w:tcPr>
          <w:p w:rsidR="0081478D" w:rsidRDefault="0081478D">
            <w:pPr>
              <w:snapToGrid w:val="0"/>
              <w:jc w:val="center"/>
              <w:rPr>
                <w:rFonts w:ascii="黑体" w:eastAsia="黑体" w:hAnsi="宋体"/>
                <w:szCs w:val="21"/>
              </w:rPr>
            </w:pPr>
            <w:r>
              <w:rPr>
                <w:rFonts w:ascii="黑体" w:eastAsia="黑体" w:hAnsi="宋体" w:hint="eastAsia"/>
                <w:szCs w:val="21"/>
              </w:rPr>
              <w:t>愿意承受的有关违约责任</w:t>
            </w:r>
          </w:p>
        </w:tc>
        <w:tc>
          <w:tcPr>
            <w:tcW w:w="6264" w:type="dxa"/>
            <w:gridSpan w:val="3"/>
            <w:tcBorders>
              <w:top w:val="single" w:sz="4" w:space="0" w:color="FF0000"/>
              <w:left w:val="single" w:sz="4" w:space="0" w:color="FF0000"/>
              <w:bottom w:val="single" w:sz="4" w:space="0" w:color="FF0000"/>
              <w:right w:val="single" w:sz="4" w:space="0" w:color="FF0000"/>
            </w:tcBorders>
            <w:vAlign w:val="center"/>
          </w:tcPr>
          <w:p w:rsidR="0081478D" w:rsidRDefault="0081478D">
            <w:pPr>
              <w:tabs>
                <w:tab w:val="left" w:pos="360"/>
              </w:tabs>
              <w:adjustRightInd w:val="0"/>
              <w:snapToGrid w:val="0"/>
              <w:spacing w:line="300" w:lineRule="auto"/>
              <w:ind w:rightChars="34" w:right="71" w:firstLineChars="200" w:firstLine="420"/>
              <w:rPr>
                <w:rFonts w:ascii="黑体" w:eastAsia="黑体" w:hAnsi="宋体"/>
                <w:szCs w:val="21"/>
              </w:rPr>
            </w:pPr>
            <w:r>
              <w:rPr>
                <w:rFonts w:ascii="黑体" w:eastAsia="黑体" w:hAnsi="宋体" w:hint="eastAsia"/>
                <w:szCs w:val="21"/>
              </w:rPr>
              <w:t>我司承诺将严格按照本项目物业服务合同各项服务条款认真履行岗位职责。如出现违约事项，将根据物业服务合同相关违约条款进行处罚。</w:t>
            </w:r>
          </w:p>
        </w:tc>
      </w:tr>
    </w:tbl>
    <w:p w:rsidR="0081478D" w:rsidRDefault="0081478D">
      <w:pPr>
        <w:pStyle w:val="ListParagraph"/>
        <w:spacing w:line="360" w:lineRule="auto"/>
        <w:ind w:firstLineChars="0" w:firstLine="0"/>
        <w:outlineLvl w:val="0"/>
        <w:rPr>
          <w:rFonts w:hint="eastAsia"/>
          <w:sz w:val="24"/>
        </w:rPr>
      </w:pPr>
      <w:r>
        <w:rPr>
          <w:rFonts w:hint="eastAsia"/>
          <w:sz w:val="24"/>
        </w:rPr>
        <w:t>注：服务标准及内容为投标人对本项目的服务内容和服务承诺。</w:t>
      </w:r>
    </w:p>
    <w:p w:rsidR="0081478D" w:rsidRDefault="0081478D">
      <w:pPr>
        <w:pStyle w:val="ListParagraph"/>
        <w:spacing w:line="360" w:lineRule="auto"/>
        <w:ind w:firstLineChars="0" w:firstLine="0"/>
        <w:outlineLvl w:val="0"/>
        <w:rPr>
          <w:rFonts w:ascii="Times New Roman" w:eastAsia="黑体" w:hAnsi="Times New Roman"/>
          <w:sz w:val="30"/>
          <w:szCs w:val="30"/>
        </w:rPr>
      </w:pPr>
    </w:p>
    <w:p w:rsidR="0081478D" w:rsidRDefault="0081478D">
      <w:pPr>
        <w:pStyle w:val="2"/>
        <w:jc w:val="center"/>
      </w:pPr>
      <w:r>
        <w:rPr>
          <w:rFonts w:hint="eastAsia"/>
        </w:rPr>
        <w:lastRenderedPageBreak/>
        <w:t>各项承诺指标的保证措施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302"/>
        </w:trPr>
        <w:tc>
          <w:tcPr>
            <w:tcW w:w="540" w:type="dxa"/>
            <w:tcBorders>
              <w:top w:val="nil"/>
              <w:left w:val="nil"/>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序号</w:t>
            </w:r>
          </w:p>
        </w:tc>
        <w:tc>
          <w:tcPr>
            <w:tcW w:w="9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指标</w:t>
            </w:r>
          </w:p>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承诺</w:t>
            </w:r>
          </w:p>
        </w:tc>
        <w:tc>
          <w:tcPr>
            <w:tcW w:w="27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测算依据</w:t>
            </w:r>
          </w:p>
        </w:tc>
        <w:tc>
          <w:tcPr>
            <w:tcW w:w="4385" w:type="dxa"/>
            <w:tcBorders>
              <w:top w:val="nil"/>
              <w:left w:val="single" w:sz="4" w:space="0" w:color="FF6600"/>
              <w:bottom w:val="nil"/>
              <w:right w:val="nil"/>
            </w:tcBorders>
            <w:shd w:val="clear" w:color="auto" w:fill="008000"/>
            <w:vAlign w:val="center"/>
          </w:tcPr>
          <w:p w:rsidR="0081478D" w:rsidRDefault="0081478D">
            <w:pPr>
              <w:snapToGrid w:val="0"/>
              <w:ind w:left="-108" w:firstLine="108"/>
              <w:jc w:val="center"/>
              <w:rPr>
                <w:rFonts w:ascii="黑体" w:eastAsia="黑体" w:hAnsi="宋体"/>
                <w:b/>
                <w:color w:val="FFFFFF"/>
                <w:szCs w:val="21"/>
              </w:rPr>
            </w:pPr>
            <w:r>
              <w:rPr>
                <w:rFonts w:ascii="黑体" w:eastAsia="黑体" w:hAnsi="宋体" w:hint="eastAsia"/>
                <w:b/>
                <w:color w:val="FFFFFF"/>
                <w:szCs w:val="21"/>
              </w:rPr>
              <w:t>保证措施</w:t>
            </w:r>
          </w:p>
        </w:tc>
      </w:tr>
      <w:tr w:rsidR="0081478D">
        <w:trPr>
          <w:trHeight w:val="80"/>
        </w:trPr>
        <w:tc>
          <w:tcPr>
            <w:tcW w:w="54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9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27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color w:val="FFFFFF"/>
                <w:sz w:val="2"/>
                <w:szCs w:val="2"/>
              </w:rPr>
            </w:pPr>
          </w:p>
        </w:tc>
        <w:tc>
          <w:tcPr>
            <w:tcW w:w="4385" w:type="dxa"/>
            <w:tcBorders>
              <w:top w:val="nil"/>
              <w:left w:val="nil"/>
              <w:bottom w:val="single" w:sz="4" w:space="0" w:color="FF6600"/>
              <w:right w:val="nil"/>
            </w:tcBorders>
            <w:vAlign w:val="center"/>
          </w:tcPr>
          <w:p w:rsidR="0081478D" w:rsidRDefault="0081478D">
            <w:pPr>
              <w:adjustRightInd w:val="0"/>
              <w:snapToGrid w:val="0"/>
              <w:ind w:left="-108" w:firstLine="108"/>
              <w:jc w:val="center"/>
              <w:rPr>
                <w:rFonts w:ascii="黑体" w:eastAsia="黑体" w:hAnsi="宋体"/>
                <w:b/>
                <w:color w:val="FFFFFF"/>
                <w:sz w:val="2"/>
                <w:szCs w:val="2"/>
              </w:rPr>
            </w:pPr>
          </w:p>
        </w:tc>
      </w:tr>
      <w:tr w:rsidR="0081478D">
        <w:trPr>
          <w:trHeight w:val="2812"/>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房屋完好率</w:t>
            </w:r>
            <w:r>
              <w:rPr>
                <w:rFonts w:ascii="Arial" w:eastAsia="黑体" w:hAnsi="Arial" w:cs="Arial"/>
                <w:szCs w:val="21"/>
              </w:rPr>
              <w:t>≧</w:t>
            </w:r>
            <w:r>
              <w:rPr>
                <w:rFonts w:ascii="黑体" w:eastAsia="黑体" w:hAnsi="宋体" w:hint="eastAsia"/>
                <w:szCs w:val="21"/>
              </w:rPr>
              <w:t>99%</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rPr>
                <w:rFonts w:ascii="黑体" w:eastAsia="黑体" w:hAnsi="宋体"/>
                <w:szCs w:val="21"/>
              </w:rPr>
            </w:pPr>
            <w:r>
              <w:rPr>
                <w:rFonts w:ascii="黑体" w:eastAsia="黑体" w:hAnsi="宋体" w:hint="eastAsia"/>
                <w:szCs w:val="21"/>
              </w:rPr>
              <w:t>完好、基本完好房面积/总建筑面积</w:t>
            </w:r>
            <w:r>
              <w:rPr>
                <w:rFonts w:ascii="黑体" w:eastAsia="黑体" w:hAnsi="宋体"/>
                <w:szCs w:val="21"/>
              </w:rPr>
              <w:t>×</w:t>
            </w:r>
            <w:r>
              <w:rPr>
                <w:rFonts w:ascii="黑体" w:eastAsia="黑体" w:hAnsi="宋体" w:hint="eastAsia"/>
                <w:szCs w:val="21"/>
              </w:rPr>
              <w:t>100%</w:t>
            </w:r>
            <w:r>
              <w:rPr>
                <w:rFonts w:ascii="Arial" w:eastAsia="黑体" w:hAnsi="Arial" w:cs="Arial"/>
                <w:szCs w:val="21"/>
              </w:rPr>
              <w:t>≧</w:t>
            </w:r>
            <w:r>
              <w:rPr>
                <w:rFonts w:ascii="黑体" w:eastAsia="黑体" w:hAnsi="宋体" w:hint="eastAsia"/>
                <w:szCs w:val="21"/>
              </w:rPr>
              <w:t>99%；</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制定详细的房屋及配套设施维修养护计划，并严格执行。</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房屋及配套设施的巡查、保养频率及质量标准量化分解到个人。</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日常维护检查与定期维修巡查相结合，确保良好状态。</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严把二次装修管理关，对有破坏本项目房屋及设备设施的行为予以制止。</w:t>
            </w:r>
          </w:p>
        </w:tc>
      </w:tr>
      <w:tr w:rsidR="0081478D">
        <w:trPr>
          <w:trHeight w:val="4266"/>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2</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房屋及设备设施零修、急修及时率100%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rPr>
                <w:rFonts w:ascii="黑体" w:eastAsia="黑体" w:hAnsi="宋体"/>
                <w:szCs w:val="21"/>
              </w:rPr>
            </w:pPr>
            <w:r>
              <w:rPr>
                <w:rFonts w:ascii="黑体" w:eastAsia="黑体" w:hAnsi="宋体" w:hint="eastAsia"/>
                <w:szCs w:val="21"/>
              </w:rPr>
              <w:t>已完成零修、急修数/</w:t>
            </w:r>
            <w:proofErr w:type="gramStart"/>
            <w:r>
              <w:rPr>
                <w:rFonts w:ascii="黑体" w:eastAsia="黑体" w:hAnsi="宋体" w:hint="eastAsia"/>
                <w:szCs w:val="21"/>
              </w:rPr>
              <w:t>总零修</w:t>
            </w:r>
            <w:proofErr w:type="gramEnd"/>
            <w:r>
              <w:rPr>
                <w:rFonts w:ascii="黑体" w:eastAsia="黑体" w:hAnsi="宋体" w:hint="eastAsia"/>
                <w:szCs w:val="21"/>
              </w:rPr>
              <w:t>、急修数</w:t>
            </w:r>
            <w:r>
              <w:rPr>
                <w:rFonts w:ascii="黑体" w:eastAsia="黑体" w:hAnsi="宋体"/>
                <w:szCs w:val="21"/>
              </w:rPr>
              <w:t>×</w:t>
            </w:r>
            <w:r>
              <w:rPr>
                <w:rFonts w:ascii="黑体" w:eastAsia="黑体" w:hAnsi="宋体" w:hint="eastAsia"/>
                <w:szCs w:val="21"/>
              </w:rPr>
              <w:t>100%=100%</w:t>
            </w:r>
          </w:p>
          <w:p w:rsidR="0081478D" w:rsidRDefault="0081478D">
            <w:pPr>
              <w:adjustRightInd w:val="0"/>
              <w:snapToGrid w:val="0"/>
              <w:spacing w:line="312" w:lineRule="auto"/>
              <w:ind w:rightChars="34" w:right="71"/>
              <w:rPr>
                <w:rFonts w:ascii="黑体" w:eastAsia="黑体" w:hAnsi="宋体"/>
                <w:szCs w:val="21"/>
              </w:rPr>
            </w:pPr>
          </w:p>
          <w:p w:rsidR="0081478D" w:rsidRDefault="0081478D">
            <w:pPr>
              <w:adjustRightInd w:val="0"/>
              <w:snapToGrid w:val="0"/>
              <w:spacing w:line="312" w:lineRule="auto"/>
              <w:ind w:rightChars="34" w:right="71"/>
              <w:rPr>
                <w:rFonts w:ascii="黑体" w:eastAsia="黑体" w:hAnsi="宋体"/>
                <w:szCs w:val="21"/>
              </w:rPr>
            </w:pPr>
            <w:r>
              <w:rPr>
                <w:rFonts w:ascii="黑体" w:eastAsia="黑体" w:hAnsi="宋体" w:hint="eastAsia"/>
                <w:szCs w:val="21"/>
              </w:rPr>
              <w:t>接到急修通知5分钟内到达现场，</w:t>
            </w:r>
            <w:proofErr w:type="gramStart"/>
            <w:r>
              <w:rPr>
                <w:rFonts w:ascii="黑体" w:eastAsia="黑体" w:hAnsi="宋体" w:hint="eastAsia"/>
                <w:szCs w:val="21"/>
              </w:rPr>
              <w:t>零修及时</w:t>
            </w:r>
            <w:proofErr w:type="gramEnd"/>
            <w:r>
              <w:rPr>
                <w:rFonts w:ascii="黑体" w:eastAsia="黑体" w:hAnsi="宋体" w:hint="eastAsia"/>
                <w:szCs w:val="21"/>
              </w:rPr>
              <w:t>完成，不超过4小时</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建立严格的房屋修缮制度，实行24小时值班，设立客户报修专线电话。</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接到报修电话的客服人</w:t>
            </w:r>
            <w:proofErr w:type="gramStart"/>
            <w:r>
              <w:rPr>
                <w:rFonts w:ascii="黑体" w:eastAsia="黑体" w:hAnsi="宋体" w:hint="eastAsia"/>
                <w:szCs w:val="21"/>
              </w:rPr>
              <w:t>员实行首问</w:t>
            </w:r>
            <w:proofErr w:type="gramEnd"/>
            <w:r>
              <w:rPr>
                <w:rFonts w:ascii="黑体" w:eastAsia="黑体" w:hAnsi="宋体" w:hint="eastAsia"/>
                <w:szCs w:val="21"/>
              </w:rPr>
              <w:t>责任制，维修诉求实行接报人负责制。</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维修人员应在接到维修通知单5分钟内到达现场，</w:t>
            </w:r>
            <w:proofErr w:type="gramStart"/>
            <w:r>
              <w:rPr>
                <w:rFonts w:ascii="黑体" w:eastAsia="黑体" w:hAnsi="宋体" w:hint="eastAsia"/>
                <w:szCs w:val="21"/>
              </w:rPr>
              <w:t>零修立即</w:t>
            </w:r>
            <w:proofErr w:type="gramEnd"/>
            <w:r>
              <w:rPr>
                <w:rFonts w:ascii="黑体" w:eastAsia="黑体" w:hAnsi="宋体" w:hint="eastAsia"/>
                <w:szCs w:val="21"/>
              </w:rPr>
              <w:t>处理，急修不过夜。</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根据本项目的功能和特点，储备合理数量的常用材料，以备急用。</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实行报修填单制，维修完成后经报修人签字确认后返回存档。</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每月对维修及时率进行一次统计，结果为相关项目及个人的考核依据。</w:t>
            </w: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3</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维修工程质量合格率</w:t>
            </w:r>
            <w:r>
              <w:rPr>
                <w:rFonts w:ascii="Arial" w:eastAsia="黑体" w:hAnsi="Arial" w:cs="Arial"/>
                <w:szCs w:val="21"/>
              </w:rPr>
              <w:t>≧</w:t>
            </w:r>
            <w:r>
              <w:rPr>
                <w:rFonts w:ascii="黑体" w:eastAsia="黑体" w:hAnsi="宋体" w:hint="eastAsia"/>
                <w:szCs w:val="21"/>
              </w:rPr>
              <w:t>99%；返修率</w:t>
            </w:r>
            <w:r>
              <w:rPr>
                <w:rFonts w:ascii="Arial" w:eastAsia="黑体" w:hAnsi="Arial" w:cs="Arial"/>
                <w:szCs w:val="21"/>
              </w:rPr>
              <w:t>≦</w:t>
            </w:r>
            <w:r>
              <w:rPr>
                <w:rFonts w:ascii="Arial" w:eastAsia="黑体" w:hAnsi="Arial" w:cs="Arial" w:hint="eastAsia"/>
                <w:szCs w:val="21"/>
              </w:rPr>
              <w:t>1%</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质量合格的维修单数/总维修单数</w:t>
            </w:r>
            <w:r>
              <w:rPr>
                <w:rFonts w:ascii="黑体" w:eastAsia="黑体" w:hAnsi="宋体"/>
                <w:szCs w:val="21"/>
              </w:rPr>
              <w:t>×</w:t>
            </w:r>
            <w:r>
              <w:rPr>
                <w:rFonts w:ascii="黑体" w:eastAsia="黑体" w:hAnsi="宋体" w:hint="eastAsia"/>
                <w:szCs w:val="21"/>
              </w:rPr>
              <w:t>100%</w:t>
            </w:r>
            <w:r>
              <w:rPr>
                <w:rFonts w:ascii="Arial" w:eastAsia="黑体" w:hAnsi="Arial" w:cs="Arial"/>
                <w:szCs w:val="21"/>
              </w:rPr>
              <w:t>≧</w:t>
            </w:r>
            <w:r>
              <w:rPr>
                <w:rFonts w:ascii="Arial" w:eastAsia="黑体" w:hAnsi="Arial" w:cs="Arial" w:hint="eastAsia"/>
                <w:szCs w:val="21"/>
              </w:rPr>
              <w:t>99</w:t>
            </w:r>
            <w:r>
              <w:rPr>
                <w:rFonts w:ascii="黑体" w:eastAsia="黑体" w:hAnsi="宋体" w:hint="eastAsia"/>
                <w:szCs w:val="21"/>
              </w:rPr>
              <w:t>%</w:t>
            </w: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质量不合格的维修单数/总维修单数</w:t>
            </w:r>
            <w:r>
              <w:rPr>
                <w:rFonts w:ascii="黑体" w:eastAsia="黑体" w:hAnsi="宋体"/>
                <w:szCs w:val="21"/>
              </w:rPr>
              <w:t>×</w:t>
            </w:r>
            <w:r>
              <w:rPr>
                <w:rFonts w:ascii="黑体" w:eastAsia="黑体" w:hAnsi="宋体" w:hint="eastAsia"/>
                <w:szCs w:val="21"/>
              </w:rPr>
              <w:t>100%</w:t>
            </w:r>
            <w:r>
              <w:rPr>
                <w:rFonts w:ascii="Arial" w:eastAsia="黑体" w:hAnsi="Arial" w:cs="Arial"/>
                <w:szCs w:val="21"/>
              </w:rPr>
              <w:t>≦</w:t>
            </w:r>
            <w:r>
              <w:rPr>
                <w:rFonts w:ascii="黑体" w:eastAsia="黑体" w:hAnsi="宋体" w:hint="eastAsia"/>
                <w:szCs w:val="21"/>
              </w:rPr>
              <w:t>1%</w:t>
            </w:r>
          </w:p>
          <w:p w:rsidR="0081478D" w:rsidRDefault="0081478D">
            <w:pPr>
              <w:adjustRightInd w:val="0"/>
              <w:snapToGrid w:val="0"/>
              <w:spacing w:line="312" w:lineRule="auto"/>
              <w:ind w:rightChars="34" w:right="71"/>
              <w:jc w:val="left"/>
              <w:rPr>
                <w:rFonts w:ascii="黑体" w:eastAsia="黑体" w:hAnsi="宋体"/>
                <w:szCs w:val="21"/>
              </w:rPr>
            </w:pP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加强维修技工的专业培训，所有技术人员持证上岗，严格按照操作规程进行维修。</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维修工程实行客户、客户质量签收制度。</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加强外购材料、备件的验收控制，确保质量，提供维修安装服务前由客户检验确认。</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较为复杂的维修工程，事先应制定详细的工作方案，同时要求维修主管到现场进行指导、监督和验收。</w:t>
            </w:r>
          </w:p>
        </w:tc>
      </w:tr>
      <w:tr w:rsidR="0081478D">
        <w:trPr>
          <w:trHeight w:val="98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4</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维修工程回访率100%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定时回访数/总维修客户数</w:t>
            </w:r>
            <w:r>
              <w:rPr>
                <w:rFonts w:ascii="黑体" w:eastAsia="黑体" w:hAnsi="宋体"/>
                <w:szCs w:val="21"/>
              </w:rPr>
              <w:t>×</w:t>
            </w:r>
            <w:r>
              <w:rPr>
                <w:rFonts w:ascii="黑体" w:eastAsia="黑体" w:hAnsi="宋体" w:hint="eastAsia"/>
                <w:szCs w:val="21"/>
              </w:rPr>
              <w:t>100%=100%</w:t>
            </w: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维修实行100%回访制，</w:t>
            </w:r>
            <w:proofErr w:type="gramStart"/>
            <w:r>
              <w:rPr>
                <w:rFonts w:ascii="黑体" w:eastAsia="黑体" w:hAnsi="宋体" w:hint="eastAsia"/>
                <w:szCs w:val="21"/>
              </w:rPr>
              <w:t>由客服</w:t>
            </w:r>
            <w:proofErr w:type="gramEnd"/>
            <w:r>
              <w:rPr>
                <w:rFonts w:ascii="黑体" w:eastAsia="黑体" w:hAnsi="宋体" w:hint="eastAsia"/>
                <w:szCs w:val="21"/>
              </w:rPr>
              <w:t>部采用电话、方式进行回访，保证反馈渠道畅通。</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项目经理每周定时抽查维修记录和回复情况，加强对客户服务工作的督导。</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把维修回访作为建立良好客户关系的重要手段，使之成为沟通客户情感的重要渠道。</w:t>
            </w:r>
          </w:p>
        </w:tc>
      </w:tr>
    </w:tbl>
    <w:p w:rsidR="0081478D" w:rsidRDefault="0081478D">
      <w:pPr>
        <w:jc w:val="left"/>
        <w:rPr>
          <w:rFonts w:ascii="宋体" w:hAnsi="宋体"/>
          <w:sz w:val="24"/>
        </w:rPr>
      </w:pPr>
    </w:p>
    <w:p w:rsidR="0081478D" w:rsidRDefault="0081478D">
      <w:pPr>
        <w:jc w:val="left"/>
        <w:rPr>
          <w:rFonts w:ascii="宋体" w:hAnsi="宋体"/>
          <w:sz w:val="24"/>
        </w:rPr>
      </w:pPr>
    </w:p>
    <w:p w:rsidR="0081478D" w:rsidRDefault="0081478D">
      <w:pPr>
        <w:pStyle w:val="ListParagraph"/>
        <w:spacing w:line="360" w:lineRule="auto"/>
        <w:ind w:firstLineChars="0" w:firstLine="0"/>
        <w:jc w:val="left"/>
        <w:rPr>
          <w:rFonts w:ascii="Times New Roman" w:eastAsia="黑体" w:hAnsi="Times New Roman"/>
          <w:sz w:val="24"/>
          <w:szCs w:val="24"/>
        </w:rPr>
      </w:pPr>
      <w:r>
        <w:rPr>
          <w:rFonts w:ascii="Times New Roman" w:eastAsia="黑体" w:hAnsi="Times New Roman" w:hint="eastAsia"/>
          <w:sz w:val="24"/>
          <w:szCs w:val="24"/>
        </w:rPr>
        <w:t>续上页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302"/>
        </w:trPr>
        <w:tc>
          <w:tcPr>
            <w:tcW w:w="540" w:type="dxa"/>
            <w:tcBorders>
              <w:top w:val="nil"/>
              <w:left w:val="nil"/>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序号</w:t>
            </w:r>
          </w:p>
        </w:tc>
        <w:tc>
          <w:tcPr>
            <w:tcW w:w="9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指标</w:t>
            </w:r>
          </w:p>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承诺</w:t>
            </w:r>
          </w:p>
        </w:tc>
        <w:tc>
          <w:tcPr>
            <w:tcW w:w="27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测算依据</w:t>
            </w:r>
          </w:p>
        </w:tc>
        <w:tc>
          <w:tcPr>
            <w:tcW w:w="4385" w:type="dxa"/>
            <w:tcBorders>
              <w:top w:val="nil"/>
              <w:left w:val="single" w:sz="4" w:space="0" w:color="FF6600"/>
              <w:bottom w:val="nil"/>
              <w:right w:val="nil"/>
            </w:tcBorders>
            <w:shd w:val="clear" w:color="auto" w:fill="008000"/>
            <w:vAlign w:val="center"/>
          </w:tcPr>
          <w:p w:rsidR="0081478D" w:rsidRDefault="0081478D">
            <w:pPr>
              <w:snapToGrid w:val="0"/>
              <w:ind w:left="-108" w:firstLine="108"/>
              <w:jc w:val="center"/>
              <w:rPr>
                <w:rFonts w:ascii="黑体" w:eastAsia="黑体" w:hAnsi="宋体"/>
                <w:b/>
                <w:color w:val="FFFFFF"/>
                <w:szCs w:val="21"/>
              </w:rPr>
            </w:pPr>
            <w:r>
              <w:rPr>
                <w:rFonts w:ascii="黑体" w:eastAsia="黑体" w:hAnsi="宋体" w:hint="eastAsia"/>
                <w:b/>
                <w:color w:val="FFFFFF"/>
                <w:szCs w:val="21"/>
              </w:rPr>
              <w:t>保证措施</w:t>
            </w:r>
          </w:p>
        </w:tc>
      </w:tr>
      <w:tr w:rsidR="0081478D">
        <w:trPr>
          <w:trHeight w:val="80"/>
        </w:trPr>
        <w:tc>
          <w:tcPr>
            <w:tcW w:w="54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9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27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color w:val="FFFFFF"/>
                <w:sz w:val="2"/>
                <w:szCs w:val="2"/>
              </w:rPr>
            </w:pPr>
          </w:p>
        </w:tc>
        <w:tc>
          <w:tcPr>
            <w:tcW w:w="4385" w:type="dxa"/>
            <w:tcBorders>
              <w:top w:val="nil"/>
              <w:left w:val="nil"/>
              <w:bottom w:val="single" w:sz="4" w:space="0" w:color="FF6600"/>
              <w:right w:val="nil"/>
            </w:tcBorders>
            <w:vAlign w:val="center"/>
          </w:tcPr>
          <w:p w:rsidR="0081478D" w:rsidRDefault="0081478D">
            <w:pPr>
              <w:adjustRightInd w:val="0"/>
              <w:snapToGrid w:val="0"/>
              <w:ind w:left="-108" w:firstLine="108"/>
              <w:jc w:val="center"/>
              <w:rPr>
                <w:rFonts w:ascii="黑体" w:eastAsia="黑体" w:hAnsi="宋体"/>
                <w:b/>
                <w:color w:val="FFFFFF"/>
                <w:sz w:val="2"/>
                <w:szCs w:val="2"/>
              </w:rPr>
            </w:pPr>
          </w:p>
        </w:tc>
      </w:tr>
      <w:tr w:rsidR="0081478D">
        <w:trPr>
          <w:trHeight w:val="2019"/>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hint="eastAsia"/>
                <w:szCs w:val="21"/>
              </w:rPr>
            </w:pPr>
            <w:r>
              <w:rPr>
                <w:rFonts w:ascii="黑体" w:eastAsia="黑体" w:hAnsi="宋体" w:hint="eastAsia"/>
                <w:szCs w:val="21"/>
              </w:rPr>
              <w:t>5</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hint="eastAsia"/>
                <w:szCs w:val="21"/>
              </w:rPr>
            </w:pPr>
            <w:r>
              <w:rPr>
                <w:rFonts w:ascii="黑体" w:eastAsia="黑体" w:hAnsi="宋体" w:hint="eastAsia"/>
                <w:szCs w:val="21"/>
              </w:rPr>
              <w:t>雨水井、污水井完好率100%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proofErr w:type="gramStart"/>
            <w:r>
              <w:rPr>
                <w:rFonts w:ascii="黑体" w:eastAsia="黑体" w:hAnsi="宋体" w:hint="eastAsia"/>
                <w:szCs w:val="21"/>
              </w:rPr>
              <w:t>项目内雨水井</w:t>
            </w:r>
            <w:proofErr w:type="gramEnd"/>
            <w:r>
              <w:rPr>
                <w:rFonts w:ascii="黑体" w:eastAsia="黑体" w:hAnsi="宋体" w:hint="eastAsia"/>
                <w:szCs w:val="21"/>
              </w:rPr>
              <w:t>、污水井目测排水畅通、无堵塞现象</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定期巡视雨水井、污水井，发现堵塞情况及时清理。</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每季度打开井盖检查井道，及时清掏。</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雨季前组织人员进行清理。</w:t>
            </w:r>
          </w:p>
        </w:tc>
      </w:tr>
      <w:tr w:rsidR="0081478D">
        <w:trPr>
          <w:trHeight w:val="1976"/>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hint="eastAsia"/>
                <w:szCs w:val="21"/>
              </w:rPr>
            </w:pPr>
            <w:r>
              <w:rPr>
                <w:rFonts w:ascii="黑体" w:eastAsia="黑体" w:hAnsi="宋体" w:hint="eastAsia"/>
                <w:szCs w:val="21"/>
              </w:rPr>
              <w:t>6</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hint="eastAsia"/>
                <w:szCs w:val="21"/>
              </w:rPr>
            </w:pPr>
            <w:r>
              <w:rPr>
                <w:rFonts w:ascii="黑体" w:eastAsia="黑体" w:hAnsi="宋体" w:hint="eastAsia"/>
                <w:szCs w:val="21"/>
              </w:rPr>
              <w:t>排水管、明暗沟完好率100%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项目内排水管道及明暗沟无塌陷情况</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制定详细的巡查记录和维护计划。</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定期巡视排水管、明暗沟，发现有下陷趋势立即汇报。</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对于破损明暗沟，做好防护措施，上报院方进行修缮。</w:t>
            </w:r>
          </w:p>
        </w:tc>
      </w:tr>
      <w:tr w:rsidR="0081478D">
        <w:trPr>
          <w:trHeight w:val="2118"/>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7</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公共文体、休息设备设施完好率100%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正常的文体、休息设备/全部文体休息</w:t>
            </w:r>
            <w:r>
              <w:rPr>
                <w:rFonts w:ascii="黑体" w:eastAsia="黑体" w:hAnsi="宋体"/>
                <w:szCs w:val="21"/>
              </w:rPr>
              <w:t>×</w:t>
            </w:r>
            <w:r>
              <w:rPr>
                <w:rFonts w:ascii="黑体" w:eastAsia="黑体" w:hAnsi="宋体" w:hint="eastAsia"/>
                <w:szCs w:val="21"/>
              </w:rPr>
              <w:t>100%=100%；</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制定详细的公共文体、休息设备设施养护计划，并严格执行。</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将此类设备设施的巡查、保养频率及质量标准量化分解到个人。</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日常巡视与定期维修相结合，确保良好状态。</w:t>
            </w:r>
          </w:p>
        </w:tc>
      </w:tr>
      <w:tr w:rsidR="0081478D">
        <w:trPr>
          <w:trHeight w:val="370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8</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业主的有效投诉率为</w:t>
            </w:r>
            <w:r>
              <w:rPr>
                <w:rFonts w:ascii="宋体" w:hAnsi="宋体" w:cs="宋体" w:hint="eastAsia"/>
                <w:szCs w:val="21"/>
              </w:rPr>
              <w:t>≦</w:t>
            </w:r>
            <w:r>
              <w:rPr>
                <w:rFonts w:ascii="黑体" w:eastAsia="黑体" w:hAnsi="宋体" w:hint="eastAsia"/>
                <w:szCs w:val="21"/>
              </w:rPr>
              <w:t>1%；业主有效投诉处理率100%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业主有效投诉次数/全部投诉次数</w:t>
            </w:r>
            <w:r>
              <w:rPr>
                <w:rFonts w:ascii="Arial" w:eastAsia="黑体" w:hAnsi="Arial" w:cs="Arial"/>
                <w:szCs w:val="21"/>
              </w:rPr>
              <w:t>≦</w:t>
            </w:r>
            <w:r>
              <w:rPr>
                <w:rFonts w:ascii="Arial" w:eastAsia="黑体" w:hAnsi="Arial" w:cs="Arial" w:hint="eastAsia"/>
                <w:szCs w:val="21"/>
              </w:rPr>
              <w:t>1%</w:t>
            </w: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处理的有效投诉件数/全部投诉件数</w:t>
            </w:r>
            <w:r>
              <w:rPr>
                <w:rFonts w:ascii="黑体" w:eastAsia="黑体" w:hAnsi="宋体"/>
                <w:szCs w:val="21"/>
              </w:rPr>
              <w:t>×</w:t>
            </w:r>
            <w:r>
              <w:rPr>
                <w:rFonts w:ascii="黑体" w:eastAsia="黑体" w:hAnsi="宋体" w:hint="eastAsia"/>
                <w:szCs w:val="21"/>
              </w:rPr>
              <w:t>100%=100%</w:t>
            </w: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加强项目全体员工服务意识与专业技能的培训，避免相关投诉的产生。</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设立并实行24小时值班，接受客户的各类投诉。值班员实</w:t>
            </w:r>
            <w:proofErr w:type="gramStart"/>
            <w:r>
              <w:rPr>
                <w:rFonts w:ascii="黑体" w:eastAsia="黑体" w:hAnsi="宋体" w:hint="eastAsia"/>
                <w:szCs w:val="21"/>
              </w:rPr>
              <w:t>行首问</w:t>
            </w:r>
            <w:proofErr w:type="gramEnd"/>
            <w:r>
              <w:rPr>
                <w:rFonts w:ascii="黑体" w:eastAsia="黑体" w:hAnsi="宋体" w:hint="eastAsia"/>
                <w:szCs w:val="21"/>
              </w:rPr>
              <w:t>责任制，做好投诉记录，并根据投诉内容传递至相关责任组并跟踪最终处理结果。</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各责任组接到投诉后应立即采取措施，并在预定时间内向客户回复。暂时无法解决的问题应制</w:t>
            </w:r>
            <w:proofErr w:type="gramStart"/>
            <w:r>
              <w:rPr>
                <w:rFonts w:ascii="黑体" w:eastAsia="黑体" w:hAnsi="宋体" w:hint="eastAsia"/>
                <w:szCs w:val="21"/>
              </w:rPr>
              <w:t>定解决</w:t>
            </w:r>
            <w:proofErr w:type="gramEnd"/>
            <w:r>
              <w:rPr>
                <w:rFonts w:ascii="黑体" w:eastAsia="黑体" w:hAnsi="宋体" w:hint="eastAsia"/>
                <w:szCs w:val="21"/>
              </w:rPr>
              <w:t>计划并向客户进行解释。</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投诉处理率作为项目部及员工每月工</w:t>
            </w:r>
            <w:proofErr w:type="gramStart"/>
            <w:r>
              <w:rPr>
                <w:rFonts w:ascii="黑体" w:eastAsia="黑体" w:hAnsi="宋体" w:hint="eastAsia"/>
                <w:szCs w:val="21"/>
              </w:rPr>
              <w:t>作考核</w:t>
            </w:r>
            <w:proofErr w:type="gramEnd"/>
            <w:r>
              <w:rPr>
                <w:rFonts w:ascii="黑体" w:eastAsia="黑体" w:hAnsi="宋体" w:hint="eastAsia"/>
                <w:szCs w:val="21"/>
              </w:rPr>
              <w:t>的重要指标直接与绩效工资挂钩。</w:t>
            </w:r>
          </w:p>
        </w:tc>
      </w:tr>
    </w:tbl>
    <w:p w:rsidR="0081478D" w:rsidRDefault="0081478D">
      <w:pPr>
        <w:pStyle w:val="ListParagraph"/>
        <w:spacing w:line="360" w:lineRule="auto"/>
        <w:ind w:firstLineChars="0" w:firstLine="0"/>
        <w:jc w:val="left"/>
        <w:rPr>
          <w:rFonts w:ascii="Times New Roman" w:eastAsia="黑体" w:hAnsi="Times New Roman" w:hint="eastAsia"/>
          <w:sz w:val="24"/>
          <w:szCs w:val="24"/>
        </w:rPr>
      </w:pPr>
    </w:p>
    <w:p w:rsidR="0081478D" w:rsidRDefault="0081478D">
      <w:pPr>
        <w:pStyle w:val="ListParagraph"/>
        <w:spacing w:line="360" w:lineRule="auto"/>
        <w:ind w:firstLineChars="0" w:firstLine="0"/>
        <w:jc w:val="left"/>
        <w:rPr>
          <w:rFonts w:ascii="Times New Roman" w:eastAsia="黑体" w:hAnsi="Times New Roman" w:hint="eastAsia"/>
          <w:sz w:val="24"/>
          <w:szCs w:val="24"/>
        </w:rPr>
      </w:pPr>
    </w:p>
    <w:p w:rsidR="0081478D" w:rsidRDefault="0081478D">
      <w:pPr>
        <w:pStyle w:val="ListParagraph"/>
        <w:spacing w:line="360" w:lineRule="auto"/>
        <w:ind w:firstLineChars="0" w:firstLine="0"/>
        <w:jc w:val="left"/>
        <w:rPr>
          <w:rFonts w:ascii="Times New Roman" w:eastAsia="黑体" w:hAnsi="Times New Roman" w:hint="eastAsia"/>
          <w:sz w:val="24"/>
          <w:szCs w:val="24"/>
        </w:rPr>
      </w:pPr>
    </w:p>
    <w:p w:rsidR="0081478D" w:rsidRDefault="0081478D">
      <w:pPr>
        <w:pStyle w:val="ListParagraph"/>
        <w:spacing w:line="360" w:lineRule="auto"/>
        <w:ind w:firstLineChars="0" w:firstLine="0"/>
        <w:jc w:val="left"/>
        <w:rPr>
          <w:rFonts w:ascii="Times New Roman" w:eastAsia="黑体" w:hAnsi="Times New Roman" w:hint="eastAsia"/>
          <w:sz w:val="24"/>
          <w:szCs w:val="24"/>
        </w:rPr>
      </w:pPr>
    </w:p>
    <w:p w:rsidR="0081478D" w:rsidRDefault="0081478D">
      <w:pPr>
        <w:pStyle w:val="ListParagraph"/>
        <w:spacing w:line="360" w:lineRule="auto"/>
        <w:ind w:firstLineChars="0" w:firstLine="0"/>
        <w:jc w:val="left"/>
        <w:rPr>
          <w:rFonts w:ascii="Times New Roman" w:eastAsia="黑体" w:hAnsi="Times New Roman" w:hint="eastAsia"/>
          <w:sz w:val="24"/>
          <w:szCs w:val="24"/>
        </w:rPr>
      </w:pPr>
    </w:p>
    <w:p w:rsidR="0081478D" w:rsidRDefault="0081478D">
      <w:pPr>
        <w:pStyle w:val="ListParagraph"/>
        <w:spacing w:line="360" w:lineRule="auto"/>
        <w:ind w:firstLineChars="0" w:firstLine="0"/>
        <w:jc w:val="left"/>
        <w:rPr>
          <w:rFonts w:ascii="Times New Roman" w:eastAsia="黑体" w:hAnsi="Times New Roman"/>
          <w:sz w:val="24"/>
          <w:szCs w:val="24"/>
        </w:rPr>
      </w:pPr>
      <w:r>
        <w:rPr>
          <w:rFonts w:ascii="Times New Roman" w:eastAsia="黑体" w:hAnsi="Times New Roman" w:hint="eastAsia"/>
          <w:sz w:val="24"/>
          <w:szCs w:val="24"/>
        </w:rPr>
        <w:lastRenderedPageBreak/>
        <w:t>续上页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302"/>
        </w:trPr>
        <w:tc>
          <w:tcPr>
            <w:tcW w:w="540" w:type="dxa"/>
            <w:tcBorders>
              <w:top w:val="nil"/>
              <w:left w:val="nil"/>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序号</w:t>
            </w:r>
          </w:p>
        </w:tc>
        <w:tc>
          <w:tcPr>
            <w:tcW w:w="9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指标</w:t>
            </w:r>
          </w:p>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承诺</w:t>
            </w:r>
          </w:p>
        </w:tc>
        <w:tc>
          <w:tcPr>
            <w:tcW w:w="27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测算依据</w:t>
            </w:r>
          </w:p>
        </w:tc>
        <w:tc>
          <w:tcPr>
            <w:tcW w:w="4385" w:type="dxa"/>
            <w:tcBorders>
              <w:top w:val="nil"/>
              <w:left w:val="single" w:sz="4" w:space="0" w:color="FF6600"/>
              <w:bottom w:val="nil"/>
              <w:right w:val="nil"/>
            </w:tcBorders>
            <w:shd w:val="clear" w:color="auto" w:fill="008000"/>
            <w:vAlign w:val="center"/>
          </w:tcPr>
          <w:p w:rsidR="0081478D" w:rsidRDefault="0081478D">
            <w:pPr>
              <w:snapToGrid w:val="0"/>
              <w:ind w:left="-108" w:firstLine="108"/>
              <w:jc w:val="center"/>
              <w:rPr>
                <w:rFonts w:ascii="黑体" w:eastAsia="黑体" w:hAnsi="宋体"/>
                <w:b/>
                <w:color w:val="FFFFFF"/>
                <w:szCs w:val="21"/>
              </w:rPr>
            </w:pPr>
            <w:r>
              <w:rPr>
                <w:rFonts w:ascii="黑体" w:eastAsia="黑体" w:hAnsi="宋体" w:hint="eastAsia"/>
                <w:b/>
                <w:color w:val="FFFFFF"/>
                <w:szCs w:val="21"/>
              </w:rPr>
              <w:t>保证措施</w:t>
            </w:r>
          </w:p>
        </w:tc>
      </w:tr>
    </w:tbl>
    <w:p w:rsidR="0081478D" w:rsidRDefault="0081478D">
      <w:pPr>
        <w:adjustRightInd w:val="0"/>
        <w:snapToGrid w:val="0"/>
        <w:jc w:val="center"/>
        <w:rPr>
          <w:rFonts w:ascii="黑体" w:eastAsia="黑体" w:hAnsi="宋体"/>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9</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业主满意率</w:t>
            </w:r>
            <w:r>
              <w:rPr>
                <w:rFonts w:ascii="Arial" w:eastAsia="黑体" w:hAnsi="Arial" w:cs="Arial"/>
                <w:szCs w:val="21"/>
              </w:rPr>
              <w:t>≧</w:t>
            </w:r>
            <w:r>
              <w:rPr>
                <w:rFonts w:ascii="黑体" w:eastAsia="黑体" w:hAnsi="宋体" w:hint="eastAsia"/>
                <w:szCs w:val="21"/>
              </w:rPr>
              <w:t>95%；</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满意及基本满意的院方人员数量/总院方人员数</w:t>
            </w:r>
            <w:r>
              <w:rPr>
                <w:rFonts w:ascii="黑体" w:eastAsia="黑体" w:hAnsi="宋体"/>
                <w:szCs w:val="21"/>
              </w:rPr>
              <w:t>×</w:t>
            </w:r>
            <w:r>
              <w:rPr>
                <w:rFonts w:ascii="黑体" w:eastAsia="黑体" w:hAnsi="宋体" w:hint="eastAsia"/>
                <w:szCs w:val="21"/>
              </w:rPr>
              <w:t>100%</w:t>
            </w:r>
            <w:r>
              <w:rPr>
                <w:rFonts w:ascii="Arial" w:eastAsia="黑体" w:hAnsi="Arial" w:cs="Arial"/>
                <w:szCs w:val="21"/>
              </w:rPr>
              <w:t>≧</w:t>
            </w:r>
            <w:r>
              <w:rPr>
                <w:rFonts w:ascii="Arial" w:eastAsia="黑体" w:hAnsi="Arial" w:cs="Arial" w:hint="eastAsia"/>
                <w:szCs w:val="21"/>
              </w:rPr>
              <w:t>95</w:t>
            </w:r>
            <w:r>
              <w:rPr>
                <w:rFonts w:ascii="黑体" w:eastAsia="黑体" w:hAnsi="宋体" w:hint="eastAsia"/>
                <w:szCs w:val="21"/>
              </w:rPr>
              <w:t>%</w:t>
            </w: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center"/>
              <w:rPr>
                <w:rFonts w:ascii="黑体" w:eastAsia="黑体" w:hAnsi="宋体"/>
                <w:szCs w:val="21"/>
              </w:rPr>
            </w:pPr>
          </w:p>
          <w:p w:rsidR="0081478D" w:rsidRDefault="0081478D">
            <w:pPr>
              <w:adjustRightInd w:val="0"/>
              <w:snapToGrid w:val="0"/>
              <w:spacing w:line="312" w:lineRule="auto"/>
              <w:ind w:rightChars="34" w:right="71"/>
              <w:jc w:val="center"/>
              <w:rPr>
                <w:rFonts w:ascii="黑体" w:eastAsia="黑体" w:hAnsi="宋体"/>
                <w:szCs w:val="21"/>
              </w:rPr>
            </w:pP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设立客户投诉邮箱，接受投诉业务。每半年向客户做一次客户满意度测评，由项目经理主持对调查结果及客户反馈意见进行分析，及时调整和改进管理服务方案，对不合格</w:t>
            </w:r>
            <w:proofErr w:type="gramStart"/>
            <w:r>
              <w:rPr>
                <w:rFonts w:ascii="黑体" w:eastAsia="黑体" w:hAnsi="宋体" w:hint="eastAsia"/>
                <w:szCs w:val="21"/>
              </w:rPr>
              <w:t>项提出</w:t>
            </w:r>
            <w:proofErr w:type="gramEnd"/>
            <w:r>
              <w:rPr>
                <w:rFonts w:ascii="黑体" w:eastAsia="黑体" w:hAnsi="宋体" w:hint="eastAsia"/>
                <w:szCs w:val="21"/>
              </w:rPr>
              <w:t>纠正和预防措施，并将实施结果直接向客户公布。</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组织专门的小组负责提升客户满意度的课题，研究投诉原因，制定解决方案并跟踪实施，每季度对小组活动进行一次评比。</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每季度召开一次质量分析会，每半年组织一次内部质量审核，每年开展一次管理评审等活动，不断改进和完善质量保证体系，确保客户满意。</w:t>
            </w: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hint="eastAsia"/>
                <w:szCs w:val="21"/>
              </w:rPr>
            </w:pPr>
            <w:r>
              <w:rPr>
                <w:rFonts w:ascii="黑体" w:eastAsia="黑体" w:hAnsi="宋体" w:hint="eastAsia"/>
                <w:szCs w:val="21"/>
              </w:rPr>
              <w:t>10</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hint="eastAsia"/>
                <w:szCs w:val="21"/>
              </w:rPr>
            </w:pPr>
            <w:r>
              <w:rPr>
                <w:rFonts w:ascii="黑体" w:eastAsia="黑体" w:hAnsi="宋体" w:hint="eastAsia"/>
                <w:szCs w:val="21"/>
              </w:rPr>
              <w:t>弱电设施完好率</w:t>
            </w:r>
            <w:r>
              <w:rPr>
                <w:rFonts w:ascii="Arial" w:eastAsia="黑体" w:hAnsi="Arial" w:cs="Arial"/>
                <w:szCs w:val="21"/>
              </w:rPr>
              <w:t>≧</w:t>
            </w:r>
            <w:r>
              <w:rPr>
                <w:rFonts w:ascii="黑体" w:eastAsia="黑体" w:hAnsi="宋体" w:hint="eastAsia"/>
                <w:szCs w:val="21"/>
              </w:rPr>
              <w:t>99%</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left"/>
              <w:rPr>
                <w:rFonts w:ascii="黑体" w:eastAsia="黑体" w:hAnsi="宋体" w:hint="eastAsia"/>
                <w:szCs w:val="21"/>
              </w:rPr>
            </w:pPr>
            <w:r>
              <w:rPr>
                <w:rFonts w:ascii="黑体" w:eastAsia="黑体" w:hAnsi="宋体" w:hint="eastAsia"/>
                <w:szCs w:val="21"/>
              </w:rPr>
              <w:t>项目内弱电系统（电话线、网络线等）线路及设施正常运转</w:t>
            </w: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制定详细的各种弱电设备定期维护保养计划，并严格执行。</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日常维护检查与定期维修巡查相结合，确保良好状态。</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各种机电设备的巡查、保养频率及质量标准量化分解到个人。</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hint="eastAsia"/>
                <w:szCs w:val="21"/>
              </w:rPr>
            </w:pPr>
            <w:r>
              <w:rPr>
                <w:rFonts w:ascii="黑体" w:eastAsia="黑体" w:hAnsi="宋体" w:hint="eastAsia"/>
                <w:szCs w:val="21"/>
              </w:rPr>
              <w:t>严把重点部位管理关，对进入重点部位人员实行登记和审批制度的管理。</w:t>
            </w: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11</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供电设备及智能化系统运行完好率</w:t>
            </w:r>
            <w:r>
              <w:rPr>
                <w:rFonts w:ascii="黑体" w:eastAsia="黑体" w:hAnsi="宋体"/>
                <w:szCs w:val="21"/>
              </w:rPr>
              <w:t>≧</w:t>
            </w:r>
            <w:r>
              <w:rPr>
                <w:rFonts w:ascii="黑体" w:eastAsia="黑体" w:hAnsi="宋体" w:hint="eastAsia"/>
                <w:szCs w:val="21"/>
              </w:rPr>
              <w:t>99%</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运行正常的设备/全部设备</w:t>
            </w:r>
            <w:r>
              <w:rPr>
                <w:rFonts w:ascii="黑体" w:eastAsia="黑体" w:hAnsi="宋体"/>
                <w:szCs w:val="21"/>
              </w:rPr>
              <w:t>×</w:t>
            </w:r>
            <w:r>
              <w:rPr>
                <w:rFonts w:ascii="黑体" w:eastAsia="黑体" w:hAnsi="宋体" w:hint="eastAsia"/>
                <w:szCs w:val="21"/>
              </w:rPr>
              <w:t>100%</w:t>
            </w:r>
            <w:r>
              <w:rPr>
                <w:rFonts w:ascii="黑体" w:eastAsia="黑体" w:hAnsi="宋体"/>
                <w:szCs w:val="21"/>
              </w:rPr>
              <w:t>≧</w:t>
            </w:r>
            <w:r>
              <w:rPr>
                <w:rFonts w:ascii="黑体" w:eastAsia="黑体" w:hAnsi="宋体" w:hint="eastAsia"/>
                <w:szCs w:val="21"/>
              </w:rPr>
              <w:t>99%；</w:t>
            </w: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制定详细的各种机电设备（包括：水、电、空调、通风、电梯、通讯等）定期维护保养计划，并严格执行。</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各种机电设备（包括：水、电、空调、通风、电梯、通讯等）的巡查、保养频率及质量标准量化分解到个人。</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日常维护检查与定期维修巡查相结合，确保良好状态。</w:t>
            </w: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12</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空调设备完好率</w:t>
            </w:r>
            <w:r>
              <w:rPr>
                <w:rFonts w:ascii="黑体" w:eastAsia="黑体" w:hAnsi="宋体"/>
                <w:szCs w:val="21"/>
              </w:rPr>
              <w:t>≧</w:t>
            </w:r>
            <w:r>
              <w:rPr>
                <w:rFonts w:ascii="黑体" w:eastAsia="黑体" w:hAnsi="宋体" w:hint="eastAsia"/>
                <w:szCs w:val="21"/>
              </w:rPr>
              <w:t>99%</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空调运行系统及设备运行良好；</w:t>
            </w: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s>
              <w:adjustRightInd w:val="0"/>
              <w:snapToGrid w:val="0"/>
              <w:spacing w:line="360" w:lineRule="auto"/>
              <w:ind w:rightChars="34" w:right="71"/>
              <w:rPr>
                <w:rFonts w:ascii="黑体" w:eastAsia="黑体" w:hAnsi="华文细黑"/>
                <w:szCs w:val="21"/>
              </w:rPr>
            </w:pPr>
            <w:r>
              <w:rPr>
                <w:rFonts w:ascii="黑体" w:eastAsia="黑体" w:hAnsi="华文细黑" w:hint="eastAsia"/>
                <w:szCs w:val="21"/>
              </w:rPr>
              <w:t>定期对空调机组设施的日常运行操作调整，排除一般常见故障；</w:t>
            </w:r>
          </w:p>
          <w:p w:rsidR="0081478D" w:rsidRDefault="0081478D">
            <w:pPr>
              <w:numPr>
                <w:ilvl w:val="0"/>
                <w:numId w:val="1"/>
              </w:numPr>
              <w:tabs>
                <w:tab w:val="left" w:pos="255"/>
              </w:tabs>
              <w:adjustRightInd w:val="0"/>
              <w:snapToGrid w:val="0"/>
              <w:spacing w:line="360" w:lineRule="auto"/>
              <w:ind w:rightChars="34" w:right="71"/>
              <w:rPr>
                <w:rFonts w:ascii="黑体" w:eastAsia="黑体" w:hAnsi="华文细黑"/>
                <w:szCs w:val="21"/>
              </w:rPr>
            </w:pPr>
            <w:r>
              <w:rPr>
                <w:rFonts w:ascii="黑体" w:eastAsia="黑体" w:hAnsi="华文细黑" w:hint="eastAsia"/>
                <w:szCs w:val="21"/>
              </w:rPr>
              <w:t>按巡视检查制度和维修记录规定，认真记载每次巡检和每次维修时间、维修部位，满足系统工艺参数要求或使用要求；</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华文细黑" w:hint="eastAsia"/>
                <w:szCs w:val="21"/>
              </w:rPr>
              <w:t>对空调系统的运行状态及时分析，调整系统运行参数；</w:t>
            </w:r>
          </w:p>
        </w:tc>
      </w:tr>
    </w:tbl>
    <w:p w:rsidR="0081478D" w:rsidRDefault="0081478D">
      <w:pPr>
        <w:pStyle w:val="ListParagraph"/>
        <w:spacing w:line="360" w:lineRule="auto"/>
        <w:ind w:firstLineChars="0" w:firstLine="0"/>
        <w:jc w:val="left"/>
        <w:rPr>
          <w:rFonts w:ascii="Times New Roman" w:eastAsia="黑体" w:hAnsi="Times New Roman"/>
          <w:sz w:val="24"/>
          <w:szCs w:val="24"/>
        </w:rPr>
      </w:pPr>
      <w:r>
        <w:rPr>
          <w:rFonts w:ascii="Times New Roman" w:eastAsia="黑体" w:hAnsi="Times New Roman" w:hint="eastAsia"/>
          <w:sz w:val="24"/>
          <w:szCs w:val="24"/>
        </w:rPr>
        <w:lastRenderedPageBreak/>
        <w:t>续上页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302"/>
        </w:trPr>
        <w:tc>
          <w:tcPr>
            <w:tcW w:w="540" w:type="dxa"/>
            <w:tcBorders>
              <w:top w:val="nil"/>
              <w:left w:val="nil"/>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序号</w:t>
            </w:r>
          </w:p>
        </w:tc>
        <w:tc>
          <w:tcPr>
            <w:tcW w:w="9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指标</w:t>
            </w:r>
          </w:p>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承诺</w:t>
            </w:r>
          </w:p>
        </w:tc>
        <w:tc>
          <w:tcPr>
            <w:tcW w:w="27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测算依据</w:t>
            </w:r>
          </w:p>
        </w:tc>
        <w:tc>
          <w:tcPr>
            <w:tcW w:w="4385" w:type="dxa"/>
            <w:tcBorders>
              <w:top w:val="nil"/>
              <w:left w:val="single" w:sz="4" w:space="0" w:color="FF6600"/>
              <w:bottom w:val="nil"/>
              <w:right w:val="nil"/>
            </w:tcBorders>
            <w:shd w:val="clear" w:color="auto" w:fill="008000"/>
            <w:vAlign w:val="center"/>
          </w:tcPr>
          <w:p w:rsidR="0081478D" w:rsidRDefault="0081478D">
            <w:pPr>
              <w:snapToGrid w:val="0"/>
              <w:ind w:left="-108" w:firstLine="108"/>
              <w:jc w:val="center"/>
              <w:rPr>
                <w:rFonts w:ascii="黑体" w:eastAsia="黑体" w:hAnsi="宋体"/>
                <w:b/>
                <w:color w:val="FFFFFF"/>
                <w:szCs w:val="21"/>
              </w:rPr>
            </w:pPr>
            <w:r>
              <w:rPr>
                <w:rFonts w:ascii="黑体" w:eastAsia="黑体" w:hAnsi="宋体" w:hint="eastAsia"/>
                <w:b/>
                <w:color w:val="FFFFFF"/>
                <w:szCs w:val="21"/>
              </w:rPr>
              <w:t>保证措施</w:t>
            </w:r>
          </w:p>
        </w:tc>
      </w:tr>
      <w:tr w:rsidR="0081478D">
        <w:trPr>
          <w:trHeight w:val="80"/>
        </w:trPr>
        <w:tc>
          <w:tcPr>
            <w:tcW w:w="54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9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27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color w:val="FFFFFF"/>
                <w:sz w:val="2"/>
                <w:szCs w:val="2"/>
              </w:rPr>
            </w:pPr>
          </w:p>
        </w:tc>
        <w:tc>
          <w:tcPr>
            <w:tcW w:w="4385" w:type="dxa"/>
            <w:tcBorders>
              <w:top w:val="nil"/>
              <w:left w:val="nil"/>
              <w:bottom w:val="single" w:sz="4" w:space="0" w:color="FF6600"/>
              <w:right w:val="nil"/>
            </w:tcBorders>
            <w:vAlign w:val="center"/>
          </w:tcPr>
          <w:p w:rsidR="0081478D" w:rsidRDefault="0081478D">
            <w:pPr>
              <w:adjustRightInd w:val="0"/>
              <w:snapToGrid w:val="0"/>
              <w:ind w:left="-108" w:firstLine="108"/>
              <w:jc w:val="center"/>
              <w:rPr>
                <w:rFonts w:ascii="黑体" w:eastAsia="黑体" w:hAnsi="宋体"/>
                <w:b/>
                <w:color w:val="FFFFFF"/>
                <w:sz w:val="2"/>
                <w:szCs w:val="2"/>
              </w:rPr>
            </w:pPr>
          </w:p>
        </w:tc>
      </w:tr>
      <w:tr w:rsidR="0081478D">
        <w:trPr>
          <w:trHeight w:val="2444"/>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12</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电梯设备正常运行率100%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项目内电梯定期年检合格并投入使用正常；</w:t>
            </w:r>
          </w:p>
        </w:tc>
        <w:tc>
          <w:tcPr>
            <w:tcW w:w="4385" w:type="dxa"/>
            <w:tcBorders>
              <w:top w:val="single" w:sz="4" w:space="0" w:color="FF6600"/>
              <w:left w:val="single" w:sz="4" w:space="0" w:color="FF6600"/>
              <w:bottom w:val="single" w:sz="4" w:space="0" w:color="FF6600"/>
              <w:right w:val="single" w:sz="4" w:space="0" w:color="FF6600"/>
            </w:tcBorders>
          </w:tcPr>
          <w:p w:rsidR="0081478D" w:rsidRDefault="0081478D">
            <w:pPr>
              <w:numPr>
                <w:ilvl w:val="0"/>
                <w:numId w:val="1"/>
              </w:numPr>
              <w:tabs>
                <w:tab w:val="left" w:pos="255"/>
              </w:tabs>
              <w:adjustRightInd w:val="0"/>
              <w:snapToGrid w:val="0"/>
              <w:spacing w:line="360" w:lineRule="auto"/>
              <w:ind w:rightChars="34" w:right="71"/>
              <w:rPr>
                <w:rFonts w:ascii="黑体" w:eastAsia="黑体" w:hAnsi="华文细黑"/>
                <w:szCs w:val="21"/>
              </w:rPr>
            </w:pPr>
            <w:r>
              <w:rPr>
                <w:rFonts w:ascii="黑体" w:eastAsia="黑体" w:hAnsi="华文细黑" w:hint="eastAsia"/>
                <w:szCs w:val="21"/>
              </w:rPr>
              <w:t>定期对电梯设备机房进行巡视，排除一般常见故障；</w:t>
            </w:r>
          </w:p>
          <w:p w:rsidR="0081478D" w:rsidRDefault="0081478D">
            <w:pPr>
              <w:numPr>
                <w:ilvl w:val="0"/>
                <w:numId w:val="1"/>
              </w:numPr>
              <w:tabs>
                <w:tab w:val="left" w:pos="255"/>
              </w:tabs>
              <w:adjustRightInd w:val="0"/>
              <w:snapToGrid w:val="0"/>
              <w:spacing w:line="360" w:lineRule="auto"/>
              <w:ind w:rightChars="34" w:right="71"/>
              <w:rPr>
                <w:rFonts w:ascii="黑体" w:eastAsia="黑体" w:hAnsi="华文细黑"/>
                <w:szCs w:val="21"/>
              </w:rPr>
            </w:pPr>
            <w:r>
              <w:rPr>
                <w:rFonts w:ascii="黑体" w:eastAsia="黑体" w:hAnsi="华文细黑" w:hint="eastAsia"/>
                <w:szCs w:val="21"/>
              </w:rPr>
              <w:t>按巡视检查制度和维修记录规定，认真记载每次巡检和每次维修时间、维修部位，满足系统工艺参数要求或使用要求；</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华文细黑" w:hint="eastAsia"/>
                <w:szCs w:val="21"/>
              </w:rPr>
              <w:t>定期对电梯设备进行维护保养，按期年检；</w:t>
            </w:r>
          </w:p>
        </w:tc>
      </w:tr>
      <w:tr w:rsidR="0081478D">
        <w:trPr>
          <w:trHeight w:val="370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13</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治安事件发生率0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rPr>
                <w:rFonts w:ascii="黑体" w:eastAsia="黑体" w:hAnsi="宋体"/>
                <w:szCs w:val="21"/>
              </w:rPr>
            </w:pPr>
            <w:r>
              <w:rPr>
                <w:rFonts w:ascii="黑体" w:eastAsia="黑体" w:hAnsi="宋体" w:hint="eastAsia"/>
                <w:szCs w:val="21"/>
              </w:rPr>
              <w:t>全年无因管理责任引发的治安、刑事案件</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发挥智能化安防立体交叉式监管体系的作用，提供24小时消防监控服务，采用巡逻方式作为有效补充，建立完善的员工安全保障体系。</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树立“24小时安防防范”意识，建立“快速反应和快速支持”体系。</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全体员工实行准军事化管理，定期进行军事素质和业务技能培训，不断提高处理可疑或突发事件的能力。</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“全员防范”的安全防范意识。</w:t>
            </w: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14</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火灾事故发生率0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p>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全年无因管理责任引发的消防事故</w:t>
            </w:r>
          </w:p>
          <w:p w:rsidR="0081478D" w:rsidRDefault="0081478D">
            <w:pPr>
              <w:adjustRightInd w:val="0"/>
              <w:snapToGrid w:val="0"/>
              <w:spacing w:line="312" w:lineRule="auto"/>
              <w:ind w:rightChars="34" w:right="71"/>
              <w:jc w:val="center"/>
              <w:rPr>
                <w:rFonts w:ascii="黑体" w:eastAsia="黑体" w:hAnsi="宋体"/>
                <w:szCs w:val="21"/>
              </w:rPr>
            </w:pPr>
          </w:p>
          <w:p w:rsidR="0081478D" w:rsidRDefault="0081478D">
            <w:pPr>
              <w:adjustRightInd w:val="0"/>
              <w:snapToGrid w:val="0"/>
              <w:spacing w:line="312" w:lineRule="auto"/>
              <w:ind w:rightChars="34" w:right="71"/>
              <w:jc w:val="center"/>
              <w:rPr>
                <w:rFonts w:ascii="黑体" w:eastAsia="黑体" w:hAnsi="宋体"/>
                <w:szCs w:val="21"/>
              </w:rPr>
            </w:pP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组建本项目义务消防队，定期组织消防演练，积极与甲方相关部门密切合作，保障本</w:t>
            </w:r>
            <w:proofErr w:type="gramStart"/>
            <w:r>
              <w:rPr>
                <w:rFonts w:ascii="黑体" w:eastAsia="黑体" w:hAnsi="宋体" w:hint="eastAsia"/>
                <w:szCs w:val="21"/>
              </w:rPr>
              <w:t>项目消防</w:t>
            </w:r>
            <w:proofErr w:type="gramEnd"/>
            <w:r>
              <w:rPr>
                <w:rFonts w:ascii="黑体" w:eastAsia="黑体" w:hAnsi="宋体" w:hint="eastAsia"/>
                <w:szCs w:val="21"/>
              </w:rPr>
              <w:t>工作有备无患。</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充分利用消防中</w:t>
            </w:r>
            <w:proofErr w:type="gramStart"/>
            <w:r>
              <w:rPr>
                <w:rFonts w:ascii="黑体" w:eastAsia="黑体" w:hAnsi="宋体" w:hint="eastAsia"/>
                <w:szCs w:val="21"/>
              </w:rPr>
              <w:t>控室技防</w:t>
            </w:r>
            <w:proofErr w:type="gramEnd"/>
            <w:r>
              <w:rPr>
                <w:rFonts w:ascii="黑体" w:eastAsia="黑体" w:hAnsi="宋体" w:hint="eastAsia"/>
                <w:szCs w:val="21"/>
              </w:rPr>
              <w:t>功能，同时采用巡逻方式作为有效补充，建立完善的消防安全保障体系。</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每月对项目进行消防安全排查，发现隐患及时清除。</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每季度对全体人员进行消防知识的普及工作，做到人人懂消防。</w:t>
            </w:r>
          </w:p>
        </w:tc>
      </w:tr>
      <w:tr w:rsidR="0081478D">
        <w:trPr>
          <w:trHeight w:val="1266"/>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15</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事故发生处理率100%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处理的事故件数/全部事故件数</w:t>
            </w:r>
            <w:r>
              <w:rPr>
                <w:rFonts w:ascii="黑体" w:eastAsia="黑体" w:hAnsi="宋体"/>
                <w:szCs w:val="21"/>
              </w:rPr>
              <w:t>×</w:t>
            </w:r>
            <w:r>
              <w:rPr>
                <w:rFonts w:ascii="黑体" w:eastAsia="黑体" w:hAnsi="宋体" w:hint="eastAsia"/>
                <w:szCs w:val="21"/>
              </w:rPr>
              <w:t>100%=100%</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制定针对本项目管理特点的应急预案。</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定期组织相关预案的演练。</w:t>
            </w:r>
          </w:p>
        </w:tc>
      </w:tr>
      <w:tr w:rsidR="0081478D">
        <w:trPr>
          <w:trHeight w:val="1266"/>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16</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消防设备设施完好率100%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left"/>
              <w:rPr>
                <w:rFonts w:ascii="黑体" w:eastAsia="黑体" w:hAnsi="宋体"/>
                <w:szCs w:val="21"/>
              </w:rPr>
            </w:pPr>
            <w:r>
              <w:rPr>
                <w:rFonts w:ascii="黑体" w:eastAsia="黑体" w:hAnsi="宋体" w:hint="eastAsia"/>
                <w:szCs w:val="21"/>
              </w:rPr>
              <w:t>运行正常的消防设备/全部消防设备</w:t>
            </w:r>
            <w:r>
              <w:rPr>
                <w:rFonts w:ascii="黑体" w:eastAsia="黑体" w:hAnsi="宋体"/>
                <w:szCs w:val="21"/>
              </w:rPr>
              <w:t>×</w:t>
            </w:r>
            <w:r>
              <w:rPr>
                <w:rFonts w:ascii="黑体" w:eastAsia="黑体" w:hAnsi="宋体" w:hint="eastAsia"/>
                <w:szCs w:val="21"/>
              </w:rPr>
              <w:t>100%=100%；</w:t>
            </w: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制订详细的消防设备设施养护计划，并严格执行；</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将消防设备设施的巡查、保养频率及质量标准量化分解到个人。</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日常巡视与定期维修相结合，状态良好。</w:t>
            </w:r>
          </w:p>
        </w:tc>
      </w:tr>
    </w:tbl>
    <w:p w:rsidR="0081478D" w:rsidRDefault="0081478D">
      <w:pPr>
        <w:pStyle w:val="ListParagraph"/>
        <w:spacing w:line="360" w:lineRule="auto"/>
        <w:ind w:firstLineChars="0" w:firstLine="0"/>
        <w:jc w:val="left"/>
        <w:rPr>
          <w:rFonts w:ascii="Times New Roman" w:eastAsia="黑体" w:hAnsi="Times New Roman"/>
          <w:sz w:val="24"/>
          <w:szCs w:val="24"/>
        </w:rPr>
      </w:pPr>
      <w:r>
        <w:rPr>
          <w:rFonts w:ascii="Times New Roman" w:eastAsia="黑体" w:hAnsi="Times New Roman" w:hint="eastAsia"/>
          <w:sz w:val="24"/>
          <w:szCs w:val="24"/>
        </w:rPr>
        <w:lastRenderedPageBreak/>
        <w:t>续上页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2700"/>
        <w:gridCol w:w="4385"/>
      </w:tblGrid>
      <w:tr w:rsidR="0081478D">
        <w:trPr>
          <w:trHeight w:val="302"/>
        </w:trPr>
        <w:tc>
          <w:tcPr>
            <w:tcW w:w="540" w:type="dxa"/>
            <w:tcBorders>
              <w:top w:val="nil"/>
              <w:left w:val="nil"/>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序号</w:t>
            </w:r>
          </w:p>
        </w:tc>
        <w:tc>
          <w:tcPr>
            <w:tcW w:w="9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指标</w:t>
            </w:r>
          </w:p>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承诺</w:t>
            </w:r>
          </w:p>
        </w:tc>
        <w:tc>
          <w:tcPr>
            <w:tcW w:w="2700" w:type="dxa"/>
            <w:tcBorders>
              <w:top w:val="nil"/>
              <w:left w:val="single" w:sz="4" w:space="0" w:color="FF6600"/>
              <w:bottom w:val="nil"/>
              <w:right w:val="single" w:sz="4" w:space="0" w:color="FF6600"/>
            </w:tcBorders>
            <w:shd w:val="clear" w:color="auto" w:fill="008000"/>
            <w:vAlign w:val="center"/>
          </w:tcPr>
          <w:p w:rsidR="0081478D" w:rsidRDefault="0081478D">
            <w:pPr>
              <w:snapToGrid w:val="0"/>
              <w:jc w:val="center"/>
              <w:rPr>
                <w:rFonts w:ascii="黑体" w:eastAsia="黑体" w:hAnsi="宋体"/>
                <w:b/>
                <w:color w:val="FFFFFF"/>
                <w:szCs w:val="21"/>
              </w:rPr>
            </w:pPr>
            <w:r>
              <w:rPr>
                <w:rFonts w:ascii="黑体" w:eastAsia="黑体" w:hAnsi="宋体" w:hint="eastAsia"/>
                <w:b/>
                <w:color w:val="FFFFFF"/>
                <w:szCs w:val="21"/>
              </w:rPr>
              <w:t>测算依据</w:t>
            </w:r>
          </w:p>
        </w:tc>
        <w:tc>
          <w:tcPr>
            <w:tcW w:w="4385" w:type="dxa"/>
            <w:tcBorders>
              <w:top w:val="nil"/>
              <w:left w:val="single" w:sz="4" w:space="0" w:color="FF6600"/>
              <w:bottom w:val="nil"/>
              <w:right w:val="nil"/>
            </w:tcBorders>
            <w:shd w:val="clear" w:color="auto" w:fill="008000"/>
            <w:vAlign w:val="center"/>
          </w:tcPr>
          <w:p w:rsidR="0081478D" w:rsidRDefault="0081478D">
            <w:pPr>
              <w:snapToGrid w:val="0"/>
              <w:ind w:left="-108" w:firstLine="108"/>
              <w:jc w:val="center"/>
              <w:rPr>
                <w:rFonts w:ascii="黑体" w:eastAsia="黑体" w:hAnsi="宋体"/>
                <w:b/>
                <w:color w:val="FFFFFF"/>
                <w:szCs w:val="21"/>
              </w:rPr>
            </w:pPr>
            <w:r>
              <w:rPr>
                <w:rFonts w:ascii="黑体" w:eastAsia="黑体" w:hAnsi="宋体" w:hint="eastAsia"/>
                <w:b/>
                <w:color w:val="FFFFFF"/>
                <w:szCs w:val="21"/>
              </w:rPr>
              <w:t>保证措施</w:t>
            </w:r>
          </w:p>
        </w:tc>
      </w:tr>
      <w:tr w:rsidR="0081478D">
        <w:trPr>
          <w:trHeight w:val="80"/>
        </w:trPr>
        <w:tc>
          <w:tcPr>
            <w:tcW w:w="54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9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sz w:val="2"/>
                <w:szCs w:val="2"/>
              </w:rPr>
            </w:pPr>
          </w:p>
        </w:tc>
        <w:tc>
          <w:tcPr>
            <w:tcW w:w="2700" w:type="dxa"/>
            <w:tcBorders>
              <w:top w:val="nil"/>
              <w:left w:val="nil"/>
              <w:bottom w:val="single" w:sz="4" w:space="0" w:color="FF6600"/>
              <w:right w:val="nil"/>
            </w:tcBorders>
            <w:vAlign w:val="center"/>
          </w:tcPr>
          <w:p w:rsidR="0081478D" w:rsidRDefault="0081478D">
            <w:pPr>
              <w:adjustRightInd w:val="0"/>
              <w:snapToGrid w:val="0"/>
              <w:jc w:val="center"/>
              <w:rPr>
                <w:rFonts w:ascii="黑体" w:eastAsia="黑体" w:hAnsi="宋体"/>
                <w:b/>
                <w:color w:val="FFFFFF"/>
                <w:sz w:val="2"/>
                <w:szCs w:val="2"/>
              </w:rPr>
            </w:pPr>
          </w:p>
        </w:tc>
        <w:tc>
          <w:tcPr>
            <w:tcW w:w="4385" w:type="dxa"/>
            <w:tcBorders>
              <w:top w:val="nil"/>
              <w:left w:val="nil"/>
              <w:bottom w:val="single" w:sz="4" w:space="0" w:color="FF6600"/>
              <w:right w:val="nil"/>
            </w:tcBorders>
            <w:vAlign w:val="center"/>
          </w:tcPr>
          <w:p w:rsidR="0081478D" w:rsidRDefault="0081478D">
            <w:pPr>
              <w:adjustRightInd w:val="0"/>
              <w:snapToGrid w:val="0"/>
              <w:ind w:left="-108" w:firstLine="108"/>
              <w:jc w:val="center"/>
              <w:rPr>
                <w:rFonts w:ascii="黑体" w:eastAsia="黑体" w:hAnsi="宋体"/>
                <w:b/>
                <w:color w:val="FFFFFF"/>
                <w:sz w:val="2"/>
                <w:szCs w:val="2"/>
              </w:rPr>
            </w:pPr>
          </w:p>
        </w:tc>
      </w:tr>
      <w:tr w:rsidR="0081478D">
        <w:trPr>
          <w:trHeight w:val="2751"/>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17</w:t>
            </w:r>
          </w:p>
        </w:tc>
        <w:tc>
          <w:tcPr>
            <w:tcW w:w="900" w:type="dxa"/>
            <w:tcBorders>
              <w:top w:val="single" w:sz="4" w:space="0" w:color="FF6600"/>
              <w:left w:val="single" w:sz="4" w:space="0" w:color="FF6600"/>
              <w:bottom w:val="single" w:sz="4" w:space="0" w:color="FF6600"/>
              <w:right w:val="single" w:sz="4" w:space="0" w:color="FF6600"/>
            </w:tcBorders>
            <w:vAlign w:val="center"/>
          </w:tcPr>
          <w:p w:rsidR="0081478D" w:rsidRDefault="0081478D">
            <w:pPr>
              <w:tabs>
                <w:tab w:val="left" w:pos="425"/>
                <w:tab w:val="left" w:pos="685"/>
              </w:tabs>
              <w:adjustRightInd w:val="0"/>
              <w:snapToGrid w:val="0"/>
              <w:spacing w:line="312" w:lineRule="auto"/>
              <w:rPr>
                <w:rFonts w:ascii="黑体" w:eastAsia="黑体" w:hAnsi="宋体"/>
                <w:szCs w:val="21"/>
              </w:rPr>
            </w:pPr>
            <w:r>
              <w:rPr>
                <w:rFonts w:ascii="黑体" w:eastAsia="黑体" w:hAnsi="宋体" w:hint="eastAsia"/>
                <w:szCs w:val="21"/>
              </w:rPr>
              <w:t>本项目服务人员培训及持证上岗率100%</w:t>
            </w:r>
          </w:p>
        </w:tc>
        <w:tc>
          <w:tcPr>
            <w:tcW w:w="270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ind w:rightChars="34" w:right="71"/>
              <w:jc w:val="center"/>
              <w:rPr>
                <w:rFonts w:ascii="黑体" w:eastAsia="黑体" w:hAnsi="宋体"/>
                <w:szCs w:val="21"/>
              </w:rPr>
            </w:pPr>
          </w:p>
          <w:p w:rsidR="0081478D" w:rsidRDefault="0081478D">
            <w:pPr>
              <w:adjustRightInd w:val="0"/>
              <w:snapToGrid w:val="0"/>
              <w:spacing w:line="312" w:lineRule="auto"/>
              <w:ind w:rightChars="34" w:right="71"/>
              <w:jc w:val="center"/>
              <w:rPr>
                <w:rFonts w:ascii="黑体" w:eastAsia="黑体" w:hAnsi="宋体"/>
                <w:szCs w:val="21"/>
              </w:rPr>
            </w:pPr>
          </w:p>
          <w:p w:rsidR="0081478D" w:rsidRDefault="0081478D">
            <w:pPr>
              <w:adjustRightInd w:val="0"/>
              <w:snapToGrid w:val="0"/>
              <w:spacing w:line="312" w:lineRule="auto"/>
              <w:ind w:rightChars="34" w:right="71"/>
              <w:jc w:val="center"/>
              <w:rPr>
                <w:rFonts w:ascii="黑体" w:eastAsia="黑体" w:hAnsi="宋体"/>
                <w:szCs w:val="21"/>
              </w:rPr>
            </w:pPr>
            <w:r>
              <w:rPr>
                <w:rFonts w:ascii="黑体" w:eastAsia="黑体" w:hAnsi="宋体" w:hint="eastAsia"/>
                <w:szCs w:val="21"/>
              </w:rPr>
              <w:t>本项目培训人员数量/人员总数</w:t>
            </w:r>
            <w:r>
              <w:rPr>
                <w:rFonts w:ascii="黑体" w:eastAsia="黑体" w:hAnsi="宋体"/>
                <w:szCs w:val="21"/>
              </w:rPr>
              <w:t>×</w:t>
            </w:r>
            <w:r>
              <w:rPr>
                <w:rFonts w:ascii="黑体" w:eastAsia="黑体" w:hAnsi="宋体" w:hint="eastAsia"/>
                <w:szCs w:val="21"/>
              </w:rPr>
              <w:t>100%=100%；</w:t>
            </w:r>
          </w:p>
          <w:p w:rsidR="0081478D" w:rsidRDefault="0081478D">
            <w:pPr>
              <w:adjustRightInd w:val="0"/>
              <w:snapToGrid w:val="0"/>
              <w:spacing w:line="312" w:lineRule="auto"/>
              <w:ind w:rightChars="34" w:right="71"/>
              <w:jc w:val="center"/>
              <w:rPr>
                <w:rFonts w:ascii="黑体" w:eastAsia="黑体" w:hAnsi="宋体"/>
                <w:szCs w:val="21"/>
              </w:rPr>
            </w:pPr>
            <w:r>
              <w:rPr>
                <w:rFonts w:ascii="黑体" w:eastAsia="黑体" w:hAnsi="宋体" w:hint="eastAsia"/>
                <w:szCs w:val="21"/>
              </w:rPr>
              <w:t>全部人员均按相关要求持证上岗；</w:t>
            </w:r>
          </w:p>
          <w:p w:rsidR="0081478D" w:rsidRDefault="0081478D">
            <w:pPr>
              <w:adjustRightInd w:val="0"/>
              <w:snapToGrid w:val="0"/>
              <w:spacing w:line="312" w:lineRule="auto"/>
              <w:ind w:rightChars="34" w:right="71"/>
              <w:jc w:val="center"/>
              <w:rPr>
                <w:rFonts w:ascii="黑体" w:eastAsia="黑体" w:hAnsi="宋体"/>
                <w:szCs w:val="21"/>
              </w:rPr>
            </w:pPr>
          </w:p>
        </w:tc>
        <w:tc>
          <w:tcPr>
            <w:tcW w:w="4385" w:type="dxa"/>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加强管理人员的业务和相关法律法规培训。</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严格挑选业务经验丰富并持有物业管理人员证书的管理人员。</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阶段性的对管理人员进行考核。</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选派优秀管理人员参加国家主管部门开办的专业上岗和职称的培训班，进行深造。</w:t>
            </w:r>
          </w:p>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对于工程人员由人力资源部进行证书的筛查，不合格者禁止上岗。</w:t>
            </w:r>
          </w:p>
        </w:tc>
      </w:tr>
      <w:tr w:rsidR="0081478D">
        <w:trPr>
          <w:trHeight w:hRule="exact" w:val="1134"/>
        </w:trPr>
        <w:tc>
          <w:tcPr>
            <w:tcW w:w="540" w:type="dxa"/>
            <w:tcBorders>
              <w:top w:val="single" w:sz="4" w:space="0" w:color="FF6600"/>
              <w:left w:val="single" w:sz="4" w:space="0" w:color="FF6600"/>
              <w:bottom w:val="single" w:sz="4" w:space="0" w:color="FF6600"/>
              <w:right w:val="single" w:sz="4" w:space="0" w:color="FF6600"/>
            </w:tcBorders>
            <w:vAlign w:val="center"/>
          </w:tcPr>
          <w:p w:rsidR="0081478D" w:rsidRDefault="0081478D">
            <w:pPr>
              <w:adjustRightInd w:val="0"/>
              <w:snapToGrid w:val="0"/>
              <w:spacing w:line="312" w:lineRule="auto"/>
              <w:jc w:val="center"/>
              <w:rPr>
                <w:rFonts w:ascii="黑体" w:eastAsia="黑体" w:hAnsi="宋体"/>
                <w:szCs w:val="21"/>
              </w:rPr>
            </w:pPr>
            <w:r>
              <w:rPr>
                <w:rFonts w:ascii="黑体" w:eastAsia="黑体" w:hAnsi="宋体" w:hint="eastAsia"/>
                <w:szCs w:val="21"/>
              </w:rPr>
              <w:t>18</w:t>
            </w:r>
          </w:p>
        </w:tc>
        <w:tc>
          <w:tcPr>
            <w:tcW w:w="7985" w:type="dxa"/>
            <w:gridSpan w:val="3"/>
            <w:tcBorders>
              <w:top w:val="single" w:sz="4" w:space="0" w:color="FF6600"/>
              <w:left w:val="single" w:sz="4" w:space="0" w:color="FF6600"/>
              <w:bottom w:val="single" w:sz="4" w:space="0" w:color="FF6600"/>
              <w:right w:val="single" w:sz="4" w:space="0" w:color="FF6600"/>
            </w:tcBorders>
            <w:vAlign w:val="center"/>
          </w:tcPr>
          <w:p w:rsidR="0081478D" w:rsidRDefault="0081478D">
            <w:pPr>
              <w:numPr>
                <w:ilvl w:val="0"/>
                <w:numId w:val="1"/>
              </w:numPr>
              <w:tabs>
                <w:tab w:val="left" w:pos="255"/>
                <w:tab w:val="left" w:pos="360"/>
              </w:tabs>
              <w:adjustRightInd w:val="0"/>
              <w:snapToGrid w:val="0"/>
              <w:spacing w:line="300" w:lineRule="auto"/>
              <w:ind w:rightChars="34" w:right="71"/>
              <w:rPr>
                <w:rFonts w:ascii="黑体" w:eastAsia="黑体" w:hAnsi="宋体"/>
                <w:szCs w:val="21"/>
              </w:rPr>
            </w:pPr>
            <w:r>
              <w:rPr>
                <w:rFonts w:ascii="黑体" w:eastAsia="黑体" w:hAnsi="宋体" w:hint="eastAsia"/>
                <w:szCs w:val="21"/>
              </w:rPr>
              <w:t>违约承诺：我司承诺将严格按照本项目物业服务合同各项服务条款认真履行岗位</w:t>
            </w:r>
          </w:p>
          <w:p w:rsidR="0081478D" w:rsidRDefault="0081478D">
            <w:pPr>
              <w:tabs>
                <w:tab w:val="left" w:pos="360"/>
              </w:tabs>
              <w:adjustRightInd w:val="0"/>
              <w:snapToGrid w:val="0"/>
              <w:spacing w:line="300" w:lineRule="auto"/>
              <w:ind w:leftChars="121" w:left="254" w:rightChars="34" w:right="71" w:firstLineChars="500" w:firstLine="1050"/>
              <w:rPr>
                <w:rFonts w:ascii="黑体" w:eastAsia="黑体" w:hAnsi="宋体"/>
                <w:szCs w:val="21"/>
              </w:rPr>
            </w:pPr>
            <w:r>
              <w:rPr>
                <w:rFonts w:ascii="黑体" w:eastAsia="黑体" w:hAnsi="宋体" w:hint="eastAsia"/>
                <w:szCs w:val="21"/>
              </w:rPr>
              <w:t>职责。如出现违约事项，将根据物业服务合同相关违约条款进行处罚。</w:t>
            </w:r>
          </w:p>
        </w:tc>
      </w:tr>
    </w:tbl>
    <w:p w:rsidR="0081478D" w:rsidRDefault="0081478D">
      <w:pPr>
        <w:widowControl/>
        <w:tabs>
          <w:tab w:val="left" w:pos="5580"/>
        </w:tabs>
        <w:spacing w:before="120" w:after="240" w:line="360" w:lineRule="auto"/>
        <w:jc w:val="center"/>
        <w:outlineLvl w:val="0"/>
        <w:rPr>
          <w:rFonts w:ascii="黑体" w:eastAsia="黑体" w:hAnsi="黑体"/>
          <w:b/>
          <w:shadow/>
          <w:color w:val="E36C0A"/>
          <w:sz w:val="28"/>
          <w:szCs w:val="28"/>
        </w:rPr>
      </w:pPr>
    </w:p>
    <w:p w:rsidR="0081478D" w:rsidRDefault="0081478D">
      <w:pPr>
        <w:jc w:val="center"/>
        <w:rPr>
          <w:rFonts w:ascii="仿宋" w:eastAsia="仿宋" w:hAnsi="仿宋"/>
          <w:sz w:val="32"/>
          <w:szCs w:val="32"/>
        </w:rPr>
      </w:pPr>
    </w:p>
    <w:p w:rsidR="0081478D" w:rsidRDefault="0081478D">
      <w:pPr>
        <w:jc w:val="center"/>
        <w:rPr>
          <w:rFonts w:ascii="仿宋" w:eastAsia="仿宋" w:hAnsi="仿宋"/>
          <w:sz w:val="32"/>
          <w:szCs w:val="32"/>
        </w:rPr>
      </w:pPr>
    </w:p>
    <w:p w:rsidR="0081478D" w:rsidRDefault="0081478D">
      <w:pPr>
        <w:jc w:val="center"/>
        <w:rPr>
          <w:rFonts w:ascii="仿宋" w:eastAsia="仿宋" w:hAnsi="仿宋"/>
          <w:sz w:val="32"/>
          <w:szCs w:val="32"/>
        </w:rPr>
      </w:pPr>
    </w:p>
    <w:sectPr w:rsidR="0081478D" w:rsidSect="00A57325">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24" w:rsidRDefault="0081478D">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49" type="#_x0000_t75" style="position:absolute;margin-left:11.25pt;margin-top:766.5pt;width:403.5pt;height:51.75pt;z-index:-251657216;mso-position-vertical-relative:page">
          <v:fill o:detectmouseclick="t"/>
          <v:imagedata r:id="rId1" o:title="" croptop="29125f" cropbottom="30056f" cropleft="22637f" cropright="15615f"/>
          <w10:wrap anchory="pag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24" w:rsidRDefault="0081478D">
    <w:pPr>
      <w:rPr>
        <w:rFonts w:ascii="黑体" w:eastAsia="黑体" w:hAnsi="黑体"/>
        <w:sz w:val="18"/>
        <w:szCs w:val="18"/>
      </w:rPr>
    </w:pPr>
    <w:r>
      <w:rPr>
        <w:rFonts w:ascii="黑体" w:eastAsia="黑体" w:hAnsi="黑体" w:hint="eastAsia"/>
        <w:sz w:val="18"/>
        <w:szCs w:val="18"/>
      </w:rPr>
      <w:t>中华女子学院物业管理服务采购项目投标文件</w:t>
    </w:r>
    <w:r>
      <w:rPr>
        <w:rFonts w:ascii="黑体" w:eastAsia="黑体" w:hAnsi="黑体" w:hint="eastAsia"/>
        <w:sz w:val="18"/>
        <w:szCs w:val="18"/>
      </w:rPr>
      <w:t xml:space="preserve">                                </w:t>
    </w:r>
    <w:r>
      <w:rPr>
        <w:rFonts w:ascii="黑体" w:eastAsia="黑体" w:hAnsi="黑体" w:hint="eastAsia"/>
        <w:sz w:val="18"/>
        <w:szCs w:val="18"/>
      </w:rPr>
      <w:t>项目编号：</w:t>
    </w:r>
    <w:r>
      <w:rPr>
        <w:rFonts w:ascii="黑体" w:eastAsia="黑体" w:hAnsi="黑体" w:hint="eastAsia"/>
        <w:sz w:val="18"/>
        <w:szCs w:val="18"/>
      </w:rPr>
      <w:t>ZC-CZB17164</w:t>
    </w:r>
  </w:p>
  <w:p w:rsidR="00571024" w:rsidRDefault="0081478D">
    <w:pPr>
      <w:ind w:firstLineChars="300" w:firstLine="630"/>
      <w:rPr>
        <w:rFonts w:ascii="黑体" w:eastAsia="黑体" w:hAnsi="黑体"/>
        <w:sz w:val="18"/>
        <w:szCs w:val="18"/>
      </w:rPr>
    </w:pPr>
    <w:r>
      <w:pict>
        <v:line id="直接连接符 2" o:spid="_x0000_s2050" style="position:absolute;left:0;text-align:left;flip:y;z-index:251660288;mso-position-horizontal-relative:margin" from="1.4pt,2.15pt" to="424.85pt,2.15pt" strokecolor="#5b9bd5" strokeweight="1pt">
          <w10:wrap anchorx="margin"/>
        </v:line>
      </w:pict>
    </w:r>
    <w:r>
      <w:rPr>
        <w:rFonts w:ascii="黑体" w:eastAsia="黑体" w:hAnsi="黑体"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0A04"/>
    <w:multiLevelType w:val="multilevel"/>
    <w:tmpl w:val="37880A04"/>
    <w:lvl w:ilvl="0">
      <w:start w:val="1"/>
      <w:numFmt w:val="bullet"/>
      <w:lvlText w:val=""/>
      <w:lvlJc w:val="left"/>
      <w:pPr>
        <w:tabs>
          <w:tab w:val="num" w:pos="255"/>
        </w:tabs>
        <w:ind w:left="255" w:hanging="255"/>
      </w:pPr>
      <w:rPr>
        <w:rFonts w:ascii="Wingdings" w:hAnsi="Wingdings" w:hint="default"/>
        <w:color w:val="DA5800"/>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33"/>
    <w:rsid w:val="003A74D6"/>
    <w:rsid w:val="0081478D"/>
    <w:rsid w:val="0098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78D"/>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qFormat/>
    <w:rsid w:val="0081478D"/>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478D"/>
    <w:rPr>
      <w:rFonts w:ascii="Times New Roman" w:eastAsia="宋体" w:hAnsi="Times New Roman" w:cs="Times New Roman"/>
      <w:b/>
      <w:kern w:val="44"/>
      <w:sz w:val="44"/>
      <w:szCs w:val="20"/>
    </w:rPr>
  </w:style>
  <w:style w:type="character" w:customStyle="1" w:styleId="2Char">
    <w:name w:val="标题 2 Char"/>
    <w:basedOn w:val="a0"/>
    <w:link w:val="2"/>
    <w:uiPriority w:val="9"/>
    <w:rsid w:val="0081478D"/>
    <w:rPr>
      <w:rFonts w:ascii="Arial" w:eastAsia="黑体" w:hAnsi="Arial" w:cs="Times New Roman"/>
      <w:b/>
      <w:sz w:val="32"/>
      <w:szCs w:val="20"/>
    </w:rPr>
  </w:style>
  <w:style w:type="character" w:customStyle="1" w:styleId="Char">
    <w:name w:val="列出段落 Char"/>
    <w:link w:val="ListParagraph"/>
    <w:qFormat/>
    <w:rsid w:val="0081478D"/>
  </w:style>
  <w:style w:type="character" w:customStyle="1" w:styleId="Char0">
    <w:name w:val="页脚 Char"/>
    <w:link w:val="a3"/>
    <w:uiPriority w:val="99"/>
    <w:qFormat/>
    <w:rsid w:val="0081478D"/>
    <w:rPr>
      <w:sz w:val="18"/>
      <w:szCs w:val="18"/>
    </w:rPr>
  </w:style>
  <w:style w:type="paragraph" w:customStyle="1" w:styleId="ListParagraph">
    <w:name w:val="List Paragraph"/>
    <w:basedOn w:val="a"/>
    <w:link w:val="Char"/>
    <w:qFormat/>
    <w:rsid w:val="0081478D"/>
    <w:pPr>
      <w:ind w:firstLineChars="200" w:firstLine="420"/>
    </w:pPr>
  </w:style>
  <w:style w:type="paragraph" w:styleId="a3">
    <w:name w:val="footer"/>
    <w:basedOn w:val="a"/>
    <w:link w:val="Char0"/>
    <w:uiPriority w:val="99"/>
    <w:unhideWhenUsed/>
    <w:qFormat/>
    <w:rsid w:val="0081478D"/>
    <w:pPr>
      <w:tabs>
        <w:tab w:val="center" w:pos="4153"/>
        <w:tab w:val="right" w:pos="8306"/>
      </w:tabs>
      <w:snapToGrid w:val="0"/>
      <w:jc w:val="left"/>
    </w:pPr>
    <w:rPr>
      <w:sz w:val="18"/>
      <w:szCs w:val="18"/>
    </w:rPr>
  </w:style>
  <w:style w:type="character" w:customStyle="1" w:styleId="Char1">
    <w:name w:val="页脚 Char1"/>
    <w:basedOn w:val="a0"/>
    <w:uiPriority w:val="99"/>
    <w:semiHidden/>
    <w:rsid w:val="008147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478D"/>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qFormat/>
    <w:rsid w:val="0081478D"/>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478D"/>
    <w:rPr>
      <w:rFonts w:ascii="Times New Roman" w:eastAsia="宋体" w:hAnsi="Times New Roman" w:cs="Times New Roman"/>
      <w:b/>
      <w:kern w:val="44"/>
      <w:sz w:val="44"/>
      <w:szCs w:val="20"/>
    </w:rPr>
  </w:style>
  <w:style w:type="character" w:customStyle="1" w:styleId="2Char">
    <w:name w:val="标题 2 Char"/>
    <w:basedOn w:val="a0"/>
    <w:link w:val="2"/>
    <w:uiPriority w:val="9"/>
    <w:rsid w:val="0081478D"/>
    <w:rPr>
      <w:rFonts w:ascii="Arial" w:eastAsia="黑体" w:hAnsi="Arial" w:cs="Times New Roman"/>
      <w:b/>
      <w:sz w:val="32"/>
      <w:szCs w:val="20"/>
    </w:rPr>
  </w:style>
  <w:style w:type="character" w:customStyle="1" w:styleId="Char">
    <w:name w:val="列出段落 Char"/>
    <w:link w:val="ListParagraph"/>
    <w:qFormat/>
    <w:rsid w:val="0081478D"/>
  </w:style>
  <w:style w:type="character" w:customStyle="1" w:styleId="Char0">
    <w:name w:val="页脚 Char"/>
    <w:link w:val="a3"/>
    <w:uiPriority w:val="99"/>
    <w:qFormat/>
    <w:rsid w:val="0081478D"/>
    <w:rPr>
      <w:sz w:val="18"/>
      <w:szCs w:val="18"/>
    </w:rPr>
  </w:style>
  <w:style w:type="paragraph" w:customStyle="1" w:styleId="ListParagraph">
    <w:name w:val="List Paragraph"/>
    <w:basedOn w:val="a"/>
    <w:link w:val="Char"/>
    <w:qFormat/>
    <w:rsid w:val="0081478D"/>
    <w:pPr>
      <w:ind w:firstLineChars="200" w:firstLine="420"/>
    </w:pPr>
  </w:style>
  <w:style w:type="paragraph" w:styleId="a3">
    <w:name w:val="footer"/>
    <w:basedOn w:val="a"/>
    <w:link w:val="Char0"/>
    <w:uiPriority w:val="99"/>
    <w:unhideWhenUsed/>
    <w:qFormat/>
    <w:rsid w:val="0081478D"/>
    <w:pPr>
      <w:tabs>
        <w:tab w:val="center" w:pos="4153"/>
        <w:tab w:val="right" w:pos="8306"/>
      </w:tabs>
      <w:snapToGrid w:val="0"/>
      <w:jc w:val="left"/>
    </w:pPr>
    <w:rPr>
      <w:sz w:val="18"/>
      <w:szCs w:val="18"/>
    </w:rPr>
  </w:style>
  <w:style w:type="character" w:customStyle="1" w:styleId="Char1">
    <w:name w:val="页脚 Char1"/>
    <w:basedOn w:val="a0"/>
    <w:uiPriority w:val="99"/>
    <w:semiHidden/>
    <w:rsid w:val="00814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2</cp:revision>
  <dcterms:created xsi:type="dcterms:W3CDTF">2017-10-27T06:23:00Z</dcterms:created>
  <dcterms:modified xsi:type="dcterms:W3CDTF">2017-10-27T06:26:00Z</dcterms:modified>
</cp:coreProperties>
</file>