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FF" w:rsidRPr="005659F1" w:rsidRDefault="009B22FF" w:rsidP="009B22FF">
      <w:pPr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5659F1">
        <w:rPr>
          <w:rFonts w:ascii="仿宋_GB2312" w:eastAsia="仿宋_GB2312" w:hAnsi="宋体" w:hint="eastAsia"/>
          <w:sz w:val="30"/>
          <w:szCs w:val="30"/>
        </w:rPr>
        <w:t>附件1：</w:t>
      </w:r>
    </w:p>
    <w:p w:rsidR="009B22FF" w:rsidRDefault="009B22FF" w:rsidP="009B22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F08B8">
        <w:rPr>
          <w:rFonts w:ascii="方正小标宋简体" w:eastAsia="方正小标宋简体" w:hint="eastAsia"/>
          <w:bCs/>
          <w:sz w:val="44"/>
          <w:szCs w:val="44"/>
        </w:rPr>
        <w:t>新风街1号院等3个小区配电室改造</w:t>
      </w:r>
    </w:p>
    <w:p w:rsidR="009B22FF" w:rsidRDefault="009B22FF" w:rsidP="009B22F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F08B8">
        <w:rPr>
          <w:rFonts w:ascii="方正小标宋简体" w:eastAsia="方正小标宋简体" w:hint="eastAsia"/>
          <w:bCs/>
          <w:sz w:val="44"/>
          <w:szCs w:val="44"/>
        </w:rPr>
        <w:t>设备采购</w:t>
      </w:r>
      <w:r>
        <w:rPr>
          <w:rFonts w:ascii="方正小标宋简体" w:eastAsia="方正小标宋简体" w:hint="eastAsia"/>
          <w:bCs/>
          <w:sz w:val="44"/>
          <w:szCs w:val="44"/>
        </w:rPr>
        <w:t>项目答疑</w:t>
      </w:r>
    </w:p>
    <w:p w:rsidR="009B22FF" w:rsidRPr="004D2DCB" w:rsidRDefault="009B22FF" w:rsidP="009B22F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新风街配电室0531设计图纸电气说明中：原1、2、3号变配电室内10kV、0.4kV配电柜、变压器、母线槽按原有尺寸不变进行更新，所有尺寸以现状实际尺寸为准。所有计量部分维持原状。并根据图中设备要求更新直流屏。本工程所有出线均为原有出线，不予调整。本工程仅更换高压柜至变压器段高压电缆。但是设备采购清单给出了所有的高低压柜采购明细，两者相矛盾以哪个为准？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宋体" w:hAnsi="宋体" w:cs="宋体"/>
          <w:b/>
          <w:kern w:val="0"/>
          <w:sz w:val="24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答：更换设备以设备采购清单为准，变压器、高低压柜及直流屏均须更换。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图纸中含有：电力电缆（YJY22-8.7/15-3*150-50m）、安全工具、绝缘垫，但采购清单中未包含。请问以哪个为准？</w:t>
      </w:r>
    </w:p>
    <w:p w:rsidR="009B22FF" w:rsidRPr="00847095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答：电力电缆，以预算的形式在安装调试费用中体现，安全工具和绝缘垫包含在设备清单的“安全工具”中。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招标文件中未给出拆除设备工程量，请问如何确定？</w:t>
      </w:r>
    </w:p>
    <w:p w:rsidR="009B22FF" w:rsidRPr="00847095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</w:t>
      </w:r>
      <w:r>
        <w:rPr>
          <w:rFonts w:ascii="仿宋_GB2312" w:eastAsia="仿宋_GB2312" w:hint="eastAsia"/>
          <w:b/>
          <w:sz w:val="32"/>
          <w:szCs w:val="32"/>
        </w:rPr>
        <w:t>本次设备</w:t>
      </w:r>
      <w:r w:rsidRPr="00F04E97">
        <w:rPr>
          <w:rFonts w:ascii="仿宋_GB2312" w:eastAsia="仿宋_GB2312" w:hint="eastAsia"/>
          <w:b/>
          <w:sz w:val="32"/>
          <w:szCs w:val="32"/>
        </w:rPr>
        <w:t>安装更新的内容</w:t>
      </w:r>
      <w:r>
        <w:rPr>
          <w:rFonts w:ascii="仿宋_GB2312" w:eastAsia="仿宋_GB2312" w:hint="eastAsia"/>
          <w:b/>
          <w:sz w:val="32"/>
          <w:szCs w:val="32"/>
        </w:rPr>
        <w:t>均对应相应的拆除工作。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投标文件中要求：非进口产品声明函,但是设计图纸中的550高压柜是进口柜型（我国没有）。</w:t>
      </w:r>
    </w:p>
    <w:p w:rsidR="009B22FF" w:rsidRPr="00847095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答：550高压柜国内厂家</w:t>
      </w:r>
      <w:r>
        <w:rPr>
          <w:rFonts w:ascii="仿宋_GB2312" w:eastAsia="仿宋_GB2312" w:hint="eastAsia"/>
          <w:b/>
          <w:sz w:val="32"/>
          <w:szCs w:val="32"/>
        </w:rPr>
        <w:t>也生产</w:t>
      </w:r>
      <w:r w:rsidRPr="00F04E97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b/>
          <w:sz w:val="32"/>
          <w:szCs w:val="32"/>
        </w:rPr>
        <w:t>招标文件的技术要</w:t>
      </w:r>
      <w:r w:rsidRPr="00F04E97">
        <w:rPr>
          <w:rFonts w:ascii="仿宋_GB2312" w:eastAsia="仿宋_GB2312" w:hint="eastAsia"/>
          <w:b/>
          <w:sz w:val="32"/>
          <w:szCs w:val="32"/>
        </w:rPr>
        <w:t>求</w:t>
      </w:r>
      <w:r>
        <w:rPr>
          <w:rFonts w:ascii="仿宋_GB2312" w:eastAsia="仿宋_GB2312" w:hint="eastAsia"/>
          <w:b/>
          <w:sz w:val="32"/>
          <w:szCs w:val="32"/>
        </w:rPr>
        <w:t>部分</w:t>
      </w:r>
      <w:r w:rsidRPr="00F04E97">
        <w:rPr>
          <w:rFonts w:ascii="仿宋_GB2312" w:eastAsia="仿宋_GB2312" w:hint="eastAsia"/>
          <w:b/>
          <w:sz w:val="32"/>
          <w:szCs w:val="32"/>
        </w:rPr>
        <w:t>已明确设备尺寸仅供参考，投标人可结合现场踏勘</w:t>
      </w:r>
      <w:r>
        <w:rPr>
          <w:rFonts w:ascii="仿宋_GB2312" w:eastAsia="仿宋_GB2312" w:hint="eastAsia"/>
          <w:b/>
          <w:sz w:val="32"/>
          <w:szCs w:val="32"/>
        </w:rPr>
        <w:t>所掌握的信息，对尺寸进行适当调整，但需确保能有足够空间进行安装，现状高压柜型宽度为800mm，投标人所投产品宽度</w:t>
      </w:r>
      <w:r>
        <w:rPr>
          <w:rFonts w:ascii="仿宋_GB2312" w:eastAsia="仿宋_GB2312" w:hint="eastAsia"/>
          <w:b/>
          <w:sz w:val="32"/>
          <w:szCs w:val="32"/>
        </w:rPr>
        <w:lastRenderedPageBreak/>
        <w:t>不超过800mm即可。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设备安装调试及拆除（需提供预算书），预算书如何提供？在何处体现或上传预算书？</w:t>
      </w:r>
    </w:p>
    <w:p w:rsidR="009B22FF" w:rsidRPr="00847095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答：预算书由投标人按预算定额的形式进行编制。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/>
          <w:sz w:val="30"/>
          <w:szCs w:val="30"/>
        </w:rPr>
        <w:t xml:space="preserve">技术要求中 </w:t>
      </w:r>
      <w:r w:rsidRPr="00847095">
        <w:rPr>
          <w:rFonts w:ascii="仿宋_GB2312" w:eastAsia="仿宋_GB2312" w:hAnsi="宋体" w:hint="eastAsia"/>
          <w:sz w:val="30"/>
          <w:szCs w:val="30"/>
        </w:rPr>
        <w:t>（一）10KV树脂绝缘干式变压器性能参数，冷却方式为AN&amp;AN/AF，而图纸中要求为强迫风冷AF，请问以哪个为准？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答：以图纸为准。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/>
          <w:sz w:val="30"/>
          <w:szCs w:val="30"/>
        </w:rPr>
        <w:t xml:space="preserve">技术要求中 </w:t>
      </w:r>
      <w:r w:rsidRPr="00847095">
        <w:rPr>
          <w:rFonts w:ascii="仿宋_GB2312" w:eastAsia="仿宋_GB2312" w:hAnsi="宋体" w:hint="eastAsia"/>
          <w:sz w:val="30"/>
          <w:szCs w:val="30"/>
        </w:rPr>
        <w:t>（一）10KV树脂绝缘干式变压器性能参数，空载损耗和空载电流，阻抗电压和负载损耗见附表，招标文件无附表。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答：附表见附件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F04E97">
        <w:rPr>
          <w:rFonts w:ascii="仿宋_GB2312" w:eastAsia="仿宋_GB2312" w:hint="eastAsia"/>
          <w:b/>
          <w:sz w:val="32"/>
          <w:szCs w:val="32"/>
        </w:rPr>
        <w:t>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/>
          <w:sz w:val="30"/>
          <w:szCs w:val="30"/>
        </w:rPr>
        <w:t>技术要求中</w:t>
      </w:r>
      <w:r w:rsidRPr="00847095">
        <w:rPr>
          <w:rFonts w:ascii="仿宋_GB2312" w:eastAsia="仿宋_GB2312" w:hAnsi="宋体" w:hint="eastAsia"/>
          <w:sz w:val="30"/>
          <w:szCs w:val="30"/>
        </w:rPr>
        <w:t>（二）1.3.1表格中高压开关柜额定电压为12KV，而图纸中为10KV，请问以哪个为准？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答：10kv。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/>
          <w:sz w:val="30"/>
          <w:szCs w:val="30"/>
        </w:rPr>
        <w:t>图纸中干式变压器为下进上出</w:t>
      </w:r>
      <w:r w:rsidRPr="00847095">
        <w:rPr>
          <w:rFonts w:ascii="仿宋_GB2312" w:eastAsia="仿宋_GB2312" w:hAnsi="宋体" w:hint="eastAsia"/>
          <w:sz w:val="30"/>
          <w:szCs w:val="30"/>
        </w:rPr>
        <w:t>，</w:t>
      </w:r>
      <w:r w:rsidRPr="00847095">
        <w:rPr>
          <w:rFonts w:ascii="仿宋_GB2312" w:eastAsia="仿宋_GB2312" w:hAnsi="宋体"/>
          <w:sz w:val="30"/>
          <w:szCs w:val="30"/>
        </w:rPr>
        <w:t>而技术要求</w:t>
      </w:r>
      <w:r w:rsidRPr="00847095">
        <w:rPr>
          <w:rFonts w:ascii="仿宋_GB2312" w:eastAsia="仿宋_GB2312" w:hAnsi="宋体" w:hint="eastAsia"/>
          <w:sz w:val="30"/>
          <w:szCs w:val="30"/>
        </w:rPr>
        <w:t>二、设备采购清单的表中要求变压器出线方式为上进上出，请问以哪个为准？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</w:t>
      </w:r>
      <w:r>
        <w:rPr>
          <w:rFonts w:ascii="仿宋_GB2312" w:eastAsia="仿宋_GB2312" w:hint="eastAsia"/>
          <w:b/>
          <w:sz w:val="32"/>
          <w:szCs w:val="32"/>
        </w:rPr>
        <w:t>新风街1号院三个配电室的变压器为</w:t>
      </w:r>
      <w:r w:rsidRPr="005659F1">
        <w:rPr>
          <w:rFonts w:ascii="仿宋_GB2312" w:eastAsia="仿宋_GB2312" w:hint="eastAsia"/>
          <w:b/>
          <w:sz w:val="32"/>
          <w:szCs w:val="32"/>
        </w:rPr>
        <w:t>下进上出</w:t>
      </w:r>
      <w:r w:rsidRPr="00F04E97"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b/>
          <w:sz w:val="32"/>
          <w:szCs w:val="32"/>
        </w:rPr>
        <w:t>万寿路甲15号院五区配电室的变压器</w:t>
      </w:r>
      <w:r w:rsidRPr="00F04E97">
        <w:rPr>
          <w:rFonts w:ascii="仿宋_GB2312" w:eastAsia="仿宋_GB2312" w:hint="eastAsia"/>
          <w:b/>
          <w:sz w:val="32"/>
          <w:szCs w:val="32"/>
        </w:rPr>
        <w:t>为</w:t>
      </w:r>
      <w:r w:rsidRPr="005659F1">
        <w:rPr>
          <w:rFonts w:ascii="仿宋_GB2312" w:eastAsia="仿宋_GB2312" w:hint="eastAsia"/>
          <w:b/>
          <w:sz w:val="32"/>
          <w:szCs w:val="32"/>
        </w:rPr>
        <w:t>上进上出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9B22FF" w:rsidRPr="00847095" w:rsidRDefault="009B22FF" w:rsidP="009B22FF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847095">
        <w:rPr>
          <w:rFonts w:ascii="仿宋_GB2312" w:eastAsia="仿宋_GB2312" w:hAnsi="宋体" w:hint="eastAsia"/>
          <w:sz w:val="30"/>
          <w:szCs w:val="30"/>
        </w:rPr>
        <w:t>新风街1号院1号和2号变电站中配电箱图纸中为距离地面1.4m暗装，而</w:t>
      </w:r>
      <w:r w:rsidRPr="00847095">
        <w:rPr>
          <w:rFonts w:ascii="仿宋_GB2312" w:eastAsia="仿宋_GB2312" w:hAnsi="宋体"/>
          <w:sz w:val="30"/>
          <w:szCs w:val="30"/>
        </w:rPr>
        <w:t>而技术要求</w:t>
      </w:r>
      <w:r w:rsidRPr="00847095">
        <w:rPr>
          <w:rFonts w:ascii="仿宋_GB2312" w:eastAsia="仿宋_GB2312" w:hAnsi="宋体" w:hint="eastAsia"/>
          <w:sz w:val="30"/>
          <w:szCs w:val="30"/>
        </w:rPr>
        <w:t>二、设备采购清单的表中要求距地1.0m挂装，请问以哪个为准？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4E97">
        <w:rPr>
          <w:rFonts w:ascii="仿宋_GB2312" w:eastAsia="仿宋_GB2312" w:hint="eastAsia"/>
          <w:b/>
          <w:sz w:val="32"/>
          <w:szCs w:val="32"/>
        </w:rPr>
        <w:t>答：以图纸为准。</w:t>
      </w:r>
    </w:p>
    <w:p w:rsidR="009B22FF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9B22FF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9B22FF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9B22FF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特别</w:t>
      </w:r>
      <w:r w:rsidRPr="00F04E97">
        <w:rPr>
          <w:rFonts w:ascii="仿宋_GB2312" w:eastAsia="仿宋_GB2312" w:hint="eastAsia"/>
          <w:b/>
          <w:sz w:val="32"/>
          <w:szCs w:val="32"/>
        </w:rPr>
        <w:t>说明：</w:t>
      </w:r>
    </w:p>
    <w:p w:rsidR="009B22FF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1、在招标文件规定的踏勘时间外，如投标人仍有现场踏勘的需求，可与采购人联系。</w:t>
      </w:r>
    </w:p>
    <w:p w:rsidR="009B22FF" w:rsidRPr="00F04E97" w:rsidRDefault="009B22FF" w:rsidP="009B22FF">
      <w:pPr>
        <w:tabs>
          <w:tab w:val="left" w:pos="705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</w:t>
      </w:r>
      <w:r w:rsidRPr="00F04E97">
        <w:rPr>
          <w:rFonts w:ascii="仿宋_GB2312" w:eastAsia="仿宋_GB2312" w:hint="eastAsia"/>
          <w:b/>
          <w:sz w:val="32"/>
          <w:szCs w:val="32"/>
        </w:rPr>
        <w:t>设备安装施工期间，应保障小区居民及设备用房等的供电需求</w:t>
      </w:r>
      <w:r>
        <w:rPr>
          <w:rFonts w:ascii="仿宋_GB2312" w:eastAsia="仿宋_GB2312" w:hint="eastAsia"/>
          <w:b/>
          <w:sz w:val="32"/>
          <w:szCs w:val="32"/>
        </w:rPr>
        <w:t>，</w:t>
      </w:r>
      <w:r w:rsidRPr="00F04E97">
        <w:rPr>
          <w:rFonts w:ascii="仿宋_GB2312" w:eastAsia="仿宋_GB2312" w:hint="eastAsia"/>
          <w:b/>
          <w:sz w:val="32"/>
          <w:szCs w:val="32"/>
        </w:rPr>
        <w:t>投标人要制定详细的供电保障措施及应急方案</w:t>
      </w:r>
      <w:r>
        <w:rPr>
          <w:rFonts w:ascii="仿宋_GB2312" w:eastAsia="仿宋_GB2312" w:hint="eastAsia"/>
          <w:b/>
          <w:sz w:val="32"/>
          <w:szCs w:val="32"/>
        </w:rPr>
        <w:t>，</w:t>
      </w:r>
      <w:r w:rsidRPr="00F04E97">
        <w:rPr>
          <w:rFonts w:ascii="仿宋_GB2312" w:eastAsia="仿宋_GB2312" w:hint="eastAsia"/>
          <w:b/>
          <w:sz w:val="32"/>
          <w:szCs w:val="32"/>
        </w:rPr>
        <w:t>所产生的费用在安装调试费中的措施费用项充分考虑。</w:t>
      </w:r>
    </w:p>
    <w:p w:rsidR="009B22FF" w:rsidRDefault="009B22FF" w:rsidP="009B22FF">
      <w:pPr>
        <w:adjustRightInd w:val="0"/>
        <w:snapToGrid w:val="0"/>
        <w:spacing w:line="560" w:lineRule="exact"/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9B22FF" w:rsidRDefault="009B22FF" w:rsidP="009B22FF">
      <w:pPr>
        <w:topLinePunct/>
        <w:adjustRightInd w:val="0"/>
        <w:snapToGrid w:val="0"/>
        <w:spacing w:line="560" w:lineRule="exact"/>
        <w:rPr>
          <w:rFonts w:ascii="黑体" w:eastAsia="黑体" w:hAnsi="宋体"/>
          <w:b/>
          <w:sz w:val="30"/>
          <w:szCs w:val="30"/>
        </w:rPr>
      </w:pPr>
    </w:p>
    <w:p w:rsidR="0014770C" w:rsidRPr="009B22FF" w:rsidRDefault="0014770C"/>
    <w:sectPr w:rsidR="0014770C" w:rsidRPr="009B22FF" w:rsidSect="0014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992B"/>
    <w:multiLevelType w:val="singleLevel"/>
    <w:tmpl w:val="5991992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2FF"/>
    <w:rsid w:val="0014770C"/>
    <w:rsid w:val="001E6D79"/>
    <w:rsid w:val="006A659B"/>
    <w:rsid w:val="009B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wangshuai</dc:creator>
  <cp:keywords/>
  <dc:description/>
  <cp:lastModifiedBy>wangshuai</cp:lastModifiedBy>
  <cp:revision>2</cp:revision>
  <dcterms:created xsi:type="dcterms:W3CDTF">2017-08-18T05:08:00Z</dcterms:created>
  <dcterms:modified xsi:type="dcterms:W3CDTF">2017-08-18T05:09:00Z</dcterms:modified>
</cp:coreProperties>
</file>