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25"/>
        <w:adjustRightInd w:val="0"/>
        <w:snapToGrid w:val="0"/>
        <w:spacing w:before="0" w:after="0" w:line="360" w:lineRule="auto"/>
        <w:ind w:firstLineChars="200" w:firstLine="720"/>
        <w:rPr>
          <w:rFonts w:ascii="方正小标宋简体" w:eastAsia="方正小标宋简体"/>
          <w:sz w:val="36"/>
          <w:szCs w:val="36"/>
        </w:rPr>
      </w:pPr>
    </w:p>
    <w:p>
      <w:pPr>
        <w:pStyle w:val="25"/>
        <w:adjustRightInd w:val="0"/>
        <w:snapToGrid w:val="0"/>
        <w:spacing w:before="0" w:after="0" w:line="360" w:lineRule="auto"/>
        <w:ind w:left="0" w:firstLine="0"/>
        <w:rPr>
          <w:rFonts w:ascii="方正小标宋简体" w:eastAsia="方正小标宋简体" w:hint="eastAsia"/>
          <w:sz w:val="36"/>
          <w:szCs w:val="36"/>
        </w:rPr>
      </w:pPr>
      <w:r>
        <w:rPr>
          <w:rFonts w:ascii="方正小标宋简体" w:eastAsia="方正小标宋简体" w:hint="eastAsia"/>
          <w:sz w:val="36"/>
          <w:szCs w:val="36"/>
        </w:rPr>
        <w:t>项目内容和要求</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中共中央直属机关事务管理局</w:t>
      </w:r>
      <w:r>
        <w:rPr>
          <w:rFonts w:ascii="仿宋_GB2312" w:eastAsia="仿宋_GB2312"/>
          <w:b/>
          <w:sz w:val="32"/>
          <w:szCs w:val="32"/>
        </w:rPr>
        <w:t>基建投资管理处</w:t>
      </w:r>
      <w:r>
        <w:rPr>
          <w:rFonts w:ascii="仿宋_GB2312" w:eastAsia="仿宋_GB2312" w:hint="eastAsia"/>
          <w:b/>
          <w:sz w:val="32"/>
          <w:szCs w:val="32"/>
        </w:rPr>
        <w:t>（以下简称“</w:t>
      </w:r>
      <w:r>
        <w:rPr>
          <w:rFonts w:ascii="仿宋_GB2312" w:eastAsia="仿宋_GB2312"/>
          <w:b/>
          <w:sz w:val="32"/>
          <w:szCs w:val="32"/>
        </w:rPr>
        <w:t>基建处</w:t>
      </w:r>
      <w:r>
        <w:rPr>
          <w:rFonts w:ascii="仿宋_GB2312" w:eastAsia="仿宋_GB2312" w:hint="eastAsia"/>
          <w:b/>
          <w:sz w:val="32"/>
          <w:szCs w:val="32"/>
        </w:rPr>
        <w:t>”）为加强中直机关建设项目管理，拟通过政府采购选择具有建筑行业工程咨询甲级资质</w:t>
      </w:r>
      <w:r>
        <w:rPr>
          <w:rStyle w:val="28"/>
          <w:rFonts w:ascii="仿宋_GB2312" w:eastAsia="仿宋_GB2312" w:hint="eastAsia"/>
          <w:b/>
          <w:sz w:val="32"/>
          <w:szCs w:val="32"/>
        </w:rPr>
        <w:footnoteReference w:id="2"/>
      </w:r>
      <w:r>
        <w:rPr>
          <w:rFonts w:ascii="仿宋_GB2312" w:eastAsia="仿宋_GB2312" w:hint="eastAsia"/>
          <w:b/>
          <w:sz w:val="32"/>
          <w:szCs w:val="32"/>
        </w:rPr>
        <w:t>的社会中介机构，承担中直机关2017年度</w:t>
      </w:r>
      <w:r>
        <w:rPr>
          <w:rFonts w:ascii="仿宋_GB2312" w:eastAsia="仿宋_GB2312"/>
          <w:b/>
          <w:sz w:val="32"/>
          <w:szCs w:val="32"/>
        </w:rPr>
        <w:t>（部门内）</w:t>
      </w:r>
      <w:r>
        <w:rPr>
          <w:rFonts w:ascii="仿宋_GB2312" w:eastAsia="仿宋_GB2312" w:hint="eastAsia"/>
          <w:b/>
          <w:sz w:val="32"/>
          <w:szCs w:val="32"/>
        </w:rPr>
        <w:t>投资计划项目</w:t>
      </w:r>
      <w:r>
        <w:rPr>
          <w:rFonts w:ascii="仿宋_GB2312" w:eastAsia="仿宋_GB2312"/>
          <w:b/>
          <w:sz w:val="32"/>
          <w:szCs w:val="32"/>
        </w:rPr>
        <w:t>评审</w:t>
      </w:r>
      <w:r>
        <w:rPr>
          <w:rFonts w:ascii="仿宋_GB2312" w:eastAsia="仿宋_GB2312" w:hint="eastAsia"/>
          <w:b/>
          <w:sz w:val="32"/>
          <w:szCs w:val="32"/>
        </w:rPr>
        <w:t>服务工作。本项目不接受联合体投标。</w:t>
      </w:r>
    </w:p>
    <w:p>
      <w:pPr>
        <w:spacing w:line="360" w:lineRule="auto"/>
        <w:ind w:firstLineChars="200" w:firstLine="640"/>
        <w:rPr>
          <w:rFonts w:ascii="仿宋_GB2312" w:eastAsia="仿宋_GB2312" w:hint="eastAsia"/>
          <w:b/>
          <w:sz w:val="32"/>
          <w:szCs w:val="32"/>
        </w:rPr>
      </w:pPr>
      <w:r>
        <w:rPr>
          <w:rFonts w:ascii="楷体_GB2312" w:eastAsia="楷体_GB2312" w:hint="eastAsia"/>
          <w:b/>
          <w:sz w:val="32"/>
          <w:szCs w:val="32"/>
        </w:rPr>
        <w:t>1、</w:t>
      </w:r>
      <w:r>
        <w:rPr>
          <w:rFonts w:ascii="楷体_GB2312" w:eastAsia="楷体_GB2312"/>
          <w:b/>
          <w:sz w:val="32"/>
          <w:szCs w:val="32"/>
        </w:rPr>
        <w:t>采购</w:t>
      </w:r>
      <w:r>
        <w:rPr>
          <w:rFonts w:ascii="楷体_GB2312" w:eastAsia="楷体_GB2312" w:hint="eastAsia"/>
          <w:b/>
          <w:sz w:val="32"/>
          <w:szCs w:val="32"/>
        </w:rPr>
        <w:t>范围</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接受</w:t>
      </w:r>
      <w:r>
        <w:rPr>
          <w:rFonts w:ascii="仿宋_GB2312" w:eastAsia="仿宋_GB2312"/>
          <w:b/>
          <w:sz w:val="32"/>
          <w:szCs w:val="32"/>
        </w:rPr>
        <w:t>基建处</w:t>
      </w:r>
      <w:r>
        <w:rPr>
          <w:rFonts w:ascii="仿宋_GB2312" w:eastAsia="仿宋_GB2312" w:hint="eastAsia"/>
          <w:b/>
          <w:sz w:val="32"/>
          <w:szCs w:val="32"/>
        </w:rPr>
        <w:t>的委托，根据国家有关法律、法规以及</w:t>
      </w:r>
      <w:r>
        <w:rPr>
          <w:rFonts w:ascii="仿宋_GB2312" w:eastAsia="仿宋_GB2312"/>
          <w:b/>
          <w:sz w:val="32"/>
          <w:szCs w:val="32"/>
        </w:rPr>
        <w:t>中</w:t>
      </w:r>
      <w:r>
        <w:rPr>
          <w:rFonts w:ascii="仿宋_GB2312" w:eastAsia="仿宋_GB2312"/>
          <w:b/>
          <w:sz w:val="32"/>
          <w:szCs w:val="32"/>
        </w:rPr>
        <w:t>共中央直属机关事务管理局（</w:t>
      </w:r>
      <w:r>
        <w:rPr>
          <w:rFonts w:ascii="仿宋_GB2312" w:eastAsia="仿宋_GB2312" w:hint="eastAsia"/>
          <w:b/>
          <w:sz w:val="32"/>
          <w:szCs w:val="32"/>
        </w:rPr>
        <w:t>以下简称“</w:t>
      </w:r>
      <w:r>
        <w:rPr>
          <w:rFonts w:ascii="仿宋_GB2312" w:eastAsia="仿宋_GB2312"/>
          <w:b/>
          <w:sz w:val="32"/>
          <w:szCs w:val="32"/>
        </w:rPr>
        <w:t>中直管理局</w:t>
      </w:r>
      <w:r>
        <w:rPr>
          <w:rFonts w:ascii="仿宋_GB2312" w:eastAsia="仿宋_GB2312" w:hint="eastAsia"/>
          <w:b/>
          <w:sz w:val="32"/>
          <w:szCs w:val="32"/>
        </w:rPr>
        <w:t>”</w:t>
      </w:r>
      <w:r>
        <w:rPr>
          <w:rFonts w:ascii="仿宋_GB2312" w:eastAsia="仿宋_GB2312"/>
          <w:b/>
          <w:sz w:val="32"/>
          <w:szCs w:val="32"/>
        </w:rPr>
        <w:t>）</w:t>
      </w:r>
      <w:r>
        <w:rPr>
          <w:rFonts w:ascii="仿宋_GB2312" w:eastAsia="仿宋_GB2312" w:hint="eastAsia"/>
          <w:b/>
          <w:sz w:val="32"/>
          <w:szCs w:val="32"/>
        </w:rPr>
        <w:t>有关工程咨询、财务、工程建设等方面的规定，结合行业内的实际情况，为</w:t>
      </w:r>
      <w:r>
        <w:rPr>
          <w:rFonts w:ascii="仿宋_GB2312" w:eastAsia="仿宋_GB2312"/>
          <w:b/>
          <w:sz w:val="32"/>
          <w:szCs w:val="32"/>
        </w:rPr>
        <w:t>基建处</w:t>
      </w:r>
      <w:r>
        <w:rPr>
          <w:rFonts w:ascii="仿宋_GB2312" w:eastAsia="仿宋_GB2312" w:hint="eastAsia"/>
          <w:b/>
          <w:sz w:val="32"/>
          <w:szCs w:val="32"/>
        </w:rPr>
        <w:t>指定的中直机关2017年度</w:t>
      </w:r>
      <w:r>
        <w:rPr>
          <w:rFonts w:ascii="仿宋_GB2312" w:eastAsia="仿宋_GB2312"/>
          <w:b/>
          <w:sz w:val="32"/>
          <w:szCs w:val="32"/>
        </w:rPr>
        <w:t>（部门内）</w:t>
      </w:r>
      <w:r>
        <w:rPr>
          <w:rFonts w:ascii="仿宋_GB2312" w:eastAsia="仿宋_GB2312" w:hint="eastAsia"/>
          <w:b/>
          <w:sz w:val="32"/>
          <w:szCs w:val="32"/>
        </w:rPr>
        <w:t>投资计划</w:t>
      </w:r>
      <w:r>
        <w:rPr>
          <w:rFonts w:ascii="仿宋_GB2312" w:eastAsia="仿宋_GB2312"/>
          <w:b/>
          <w:sz w:val="32"/>
          <w:szCs w:val="32"/>
        </w:rPr>
        <w:t>项目</w:t>
      </w:r>
      <w:r>
        <w:rPr>
          <w:rFonts w:ascii="仿宋_GB2312" w:eastAsia="仿宋_GB2312" w:hint="eastAsia"/>
          <w:b/>
          <w:sz w:val="32"/>
          <w:szCs w:val="32"/>
        </w:rPr>
        <w:t>提供</w:t>
      </w:r>
      <w:r>
        <w:rPr>
          <w:rFonts w:ascii="仿宋_GB2312" w:eastAsia="仿宋_GB2312"/>
          <w:b/>
          <w:sz w:val="32"/>
          <w:szCs w:val="32"/>
        </w:rPr>
        <w:t>评审</w:t>
      </w:r>
      <w:r>
        <w:rPr>
          <w:rFonts w:ascii="仿宋_GB2312" w:eastAsia="仿宋_GB2312" w:hint="eastAsia"/>
          <w:b/>
          <w:sz w:val="32"/>
          <w:szCs w:val="32"/>
        </w:rPr>
        <w:t>服务（可行性研究报告评估</w:t>
      </w:r>
      <w:r>
        <w:rPr>
          <w:rFonts w:ascii="仿宋_GB2312" w:eastAsia="仿宋_GB2312"/>
          <w:b/>
          <w:sz w:val="32"/>
          <w:szCs w:val="32"/>
        </w:rPr>
        <w:t>及</w:t>
      </w:r>
      <w:r>
        <w:rPr>
          <w:rFonts w:ascii="仿宋_GB2312" w:eastAsia="仿宋_GB2312" w:hint="eastAsia"/>
          <w:b/>
          <w:sz w:val="32"/>
          <w:szCs w:val="32"/>
        </w:rPr>
        <w:t>初步设计方案</w:t>
      </w:r>
      <w:r>
        <w:rPr>
          <w:rFonts w:ascii="仿宋_GB2312" w:eastAsia="仿宋_GB2312"/>
          <w:b/>
          <w:sz w:val="32"/>
          <w:szCs w:val="32"/>
        </w:rPr>
        <w:t>和投资概算</w:t>
      </w:r>
      <w:r>
        <w:rPr>
          <w:rFonts w:ascii="仿宋_GB2312" w:eastAsia="仿宋_GB2312" w:hint="eastAsia"/>
          <w:b/>
          <w:sz w:val="32"/>
          <w:szCs w:val="32"/>
        </w:rPr>
        <w:t>评审）。</w:t>
      </w:r>
    </w:p>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2、规定标准</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 xml:space="preserve">《建设项目前期工作咨询收费暂行规定》(计价格〔1999〕1283号) </w:t>
      </w:r>
    </w:p>
    <w:p>
      <w:pPr>
        <w:spacing w:line="360" w:lineRule="auto"/>
        <w:ind w:firstLineChars="200" w:firstLine="640"/>
        <w:rPr>
          <w:rFonts w:ascii="仿宋_GB2312" w:eastAsia="仿宋_GB2312"/>
          <w:b/>
          <w:bCs/>
          <w:sz w:val="32"/>
          <w:szCs w:val="32"/>
        </w:rPr>
      </w:pPr>
      <w:r>
        <w:rPr>
          <w:rFonts w:ascii="仿宋_GB2312" w:eastAsia="仿宋_GB2312" w:hint="eastAsia"/>
          <w:b/>
          <w:bCs/>
          <w:sz w:val="32"/>
          <w:szCs w:val="32"/>
        </w:rPr>
        <w:t>《中央国家机关建设项目立项评估和初步设计评审管理办法（试行）》（国管房地〔2006〕37号）</w:t>
      </w:r>
    </w:p>
    <w:p>
      <w:pPr>
        <w:spacing w:line="360" w:lineRule="auto"/>
        <w:ind w:firstLineChars="200" w:firstLine="640"/>
        <w:rPr>
          <w:rFonts w:ascii="仿宋_GB2312" w:eastAsia="仿宋_GB2312"/>
          <w:b/>
          <w:bCs/>
          <w:sz w:val="32"/>
          <w:szCs w:val="32"/>
        </w:rPr>
      </w:pPr>
      <w:r>
        <w:rPr>
          <w:rFonts w:ascii="仿宋_GB2312" w:eastAsia="仿宋_GB2312"/>
          <w:b/>
          <w:bCs/>
          <w:sz w:val="32"/>
          <w:szCs w:val="32"/>
        </w:rPr>
        <w:t>《国家电子政务工程建设项目管理暂行办法》（国家发改委第55号令）</w:t>
      </w:r>
    </w:p>
    <w:p>
      <w:pPr>
        <w:spacing w:line="360" w:lineRule="auto"/>
        <w:ind w:firstLineChars="200" w:firstLine="640"/>
        <w:rPr>
          <w:rFonts w:ascii="仿宋_GB2312" w:eastAsia="仿宋_GB2312" w:hint="eastAsia"/>
          <w:b/>
          <w:bCs/>
          <w:color w:val="FF6600"/>
          <w:sz w:val="32"/>
          <w:szCs w:val="32"/>
        </w:rPr>
      </w:pPr>
      <w:r>
        <w:rPr>
          <w:rFonts w:ascii="仿宋_GB2312" w:eastAsia="仿宋_GB2312"/>
          <w:b/>
          <w:bCs/>
          <w:sz w:val="32"/>
          <w:szCs w:val="32"/>
        </w:rPr>
        <w:t>《建筑工程设计文件编制深度规定》（建质[2008]216号）</w:t>
      </w:r>
    </w:p>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3、服务内容</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服务内容包括：按照国家和中直管理局的有关规定，为机关建设项目提供可行性研究报告评估、初步设计和投资概算评审（含概算调整评审）等服务。</w:t>
      </w:r>
    </w:p>
    <w:p>
      <w:pPr>
        <w:spacing w:line="360" w:lineRule="auto"/>
        <w:ind w:firstLineChars="200" w:firstLine="640"/>
        <w:rPr>
          <w:rFonts w:ascii="仿宋_GB2312" w:eastAsia="仿宋_GB2312" w:hint="eastAsia"/>
          <w:b/>
          <w:sz w:val="32"/>
          <w:szCs w:val="32"/>
        </w:rPr>
      </w:pPr>
      <w:r>
        <w:rPr>
          <w:rFonts w:ascii="楷体_GB2312" w:eastAsia="楷体_GB2312" w:hint="eastAsia"/>
          <w:b/>
          <w:sz w:val="32"/>
          <w:szCs w:val="32"/>
        </w:rPr>
        <w:t>4、评估、评审规范</w:t>
      </w:r>
      <w:r>
        <w:rPr>
          <w:rFonts w:ascii="仿宋_GB2312" w:eastAsia="仿宋_GB2312" w:hint="eastAsia"/>
          <w:b/>
          <w:sz w:val="32"/>
          <w:szCs w:val="32"/>
        </w:rPr>
        <w:t xml:space="preserve"> </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根据采购人提供的资料，依据建设主管部门颁布的工程建设标准和相关规定以及采购人有关文件和要求，客观公正地为受托机关建设项目进行服务，并出具有法律效力的工程咨询结果文件。</w:t>
      </w:r>
    </w:p>
    <w:p>
      <w:pPr>
        <w:spacing w:line="360" w:lineRule="auto"/>
        <w:ind w:firstLine="640"/>
        <w:rPr>
          <w:rFonts w:ascii="仿宋_GB2312" w:eastAsia="仿宋_GB2312" w:hint="eastAsia"/>
          <w:b/>
          <w:color w:val="FF6600"/>
          <w:sz w:val="32"/>
          <w:szCs w:val="32"/>
        </w:rPr>
      </w:pPr>
      <w:r>
        <w:rPr>
          <w:rFonts w:ascii="仿宋_GB2312" w:eastAsia="仿宋_GB2312" w:hint="eastAsia"/>
          <w:b/>
          <w:sz w:val="32"/>
          <w:szCs w:val="32"/>
        </w:rPr>
        <w:t>结果文件主要包括可行性研究评估报告、初步设计评审报告等。</w:t>
      </w:r>
    </w:p>
    <w:p>
      <w:pPr>
        <w:spacing w:line="360" w:lineRule="auto"/>
        <w:ind w:firstLine="640"/>
        <w:rPr>
          <w:rFonts w:ascii="仿宋_GB2312" w:eastAsia="仿宋_GB2312" w:hint="eastAsia"/>
          <w:b/>
          <w:sz w:val="32"/>
          <w:szCs w:val="32"/>
        </w:rPr>
      </w:pPr>
      <w:r>
        <w:rPr>
          <w:rFonts w:ascii="楷体_GB2312" w:eastAsia="楷体_GB2312" w:hint="eastAsia"/>
          <w:b/>
          <w:sz w:val="32"/>
          <w:szCs w:val="32"/>
        </w:rPr>
        <w:t>5、评估、评审流程</w:t>
      </w:r>
    </w:p>
    <w:p>
      <w:pPr>
        <w:spacing w:line="360" w:lineRule="auto"/>
        <w:ind w:firstLine="640"/>
        <w:rPr>
          <w:rFonts w:ascii="仿宋_GB2312" w:eastAsia="仿宋_GB2312" w:hint="eastAsia"/>
          <w:b/>
          <w:sz w:val="32"/>
          <w:szCs w:val="32"/>
        </w:rPr>
      </w:pPr>
      <w:r>
        <w:rPr>
          <w:rFonts w:ascii="仿宋_GB2312" w:eastAsia="仿宋_GB2312" w:hint="eastAsia"/>
          <w:b/>
          <w:sz w:val="32"/>
          <w:szCs w:val="32"/>
        </w:rPr>
        <w:t>（1）可行性研究报告、初步设计文件符合性检查。评估、评审单位对接收到的可行性研究报告、初步设计文件完整性和深度进行检查，符合要求的立即开展评估、评审工作，不符合的按照时限要求进行补充。</w:t>
      </w:r>
    </w:p>
    <w:p>
      <w:pPr>
        <w:spacing w:line="360" w:lineRule="auto"/>
        <w:ind w:firstLine="640"/>
        <w:rPr>
          <w:rFonts w:ascii="仿宋_GB2312" w:eastAsia="仿宋_GB2312" w:hint="eastAsia"/>
          <w:b/>
          <w:sz w:val="32"/>
          <w:szCs w:val="32"/>
        </w:rPr>
      </w:pPr>
      <w:r>
        <w:rPr>
          <w:rFonts w:ascii="仿宋_GB2312" w:eastAsia="仿宋_GB2312" w:hint="eastAsia"/>
          <w:b/>
          <w:sz w:val="32"/>
          <w:szCs w:val="32"/>
        </w:rPr>
        <w:t>（2）现场踏勘和调研。评估、评审单位组织现场踏勘和调研，留取项目现场照片资料，核实项目实际情况，形成现场踏勘和调研记录。</w:t>
      </w:r>
    </w:p>
    <w:p>
      <w:pPr>
        <w:spacing w:line="360" w:lineRule="auto"/>
        <w:ind w:firstLine="640"/>
        <w:rPr>
          <w:rFonts w:ascii="仿宋_GB2312" w:eastAsia="仿宋_GB2312" w:hint="eastAsia"/>
          <w:b/>
          <w:sz w:val="32"/>
          <w:szCs w:val="32"/>
        </w:rPr>
      </w:pPr>
      <w:r>
        <w:rPr>
          <w:rFonts w:ascii="仿宋_GB2312" w:eastAsia="仿宋_GB2312" w:cs="宋体" w:hint="eastAsia"/>
          <w:b/>
          <w:sz w:val="32"/>
          <w:szCs w:val="32"/>
        </w:rPr>
        <w:t>（3）</w:t>
      </w:r>
      <w:r>
        <w:rPr>
          <w:rFonts w:eastAsia="仿宋_GB2312" w:cs="宋体" w:hint="eastAsia"/>
          <w:b/>
          <w:sz w:val="32"/>
          <w:szCs w:val="32"/>
        </w:rPr>
        <w:t> </w:t>
      </w:r>
      <w:r>
        <w:rPr>
          <w:rFonts w:ascii="仿宋_GB2312" w:eastAsia="仿宋_GB2312" w:cs="宋体" w:hint="eastAsia"/>
          <w:b/>
          <w:sz w:val="32"/>
          <w:szCs w:val="32"/>
        </w:rPr>
        <w:t>出具初步报告。</w:t>
      </w:r>
      <w:r>
        <w:rPr>
          <w:rFonts w:ascii="仿宋_GB2312" w:eastAsia="仿宋_GB2312" w:cs="宋体" w:hint="eastAsia"/>
          <w:b/>
          <w:sz w:val="32"/>
          <w:szCs w:val="32"/>
          <w:bdr w:val="none" w:sz="0" w:space="0" w:color="auto"/>
        </w:rPr>
        <w:t>评估、评审单位对项目的必要性、可行性、经济性、安全性、节能性等逐项进行论证，提出项目评估、评审初步报告。项目评估、评审报告由正文和附件、附表组成。主要包括下列内容：</w:t>
      </w:r>
      <w:r>
        <w:rPr>
          <w:rFonts w:ascii="仿宋_GB2312" w:eastAsia="仿宋_GB2312" w:cs="宋体"/>
          <w:b/>
          <w:sz w:val="32"/>
          <w:szCs w:val="32"/>
          <w:bdr w:val="none" w:sz="0" w:space="0" w:color="auto"/>
        </w:rPr>
        <w:t>全部评估、评审项目情况汇总表以及单个</w:t>
      </w:r>
      <w:r>
        <w:rPr>
          <w:rFonts w:ascii="仿宋_GB2312" w:eastAsia="仿宋_GB2312" w:cs="宋体" w:hint="eastAsia"/>
          <w:b/>
          <w:sz w:val="32"/>
          <w:szCs w:val="32"/>
          <w:bdr w:val="none" w:sz="0" w:space="0" w:color="auto"/>
        </w:rPr>
        <w:t>项目概况；评估、评审依据；评估、评审范围、要求；各专业评估、评审意见；项目实施过程中的风险预测和分析；评估、评审结论意见与建议;投资估算或初步设计概算核定表。</w:t>
      </w:r>
    </w:p>
    <w:p>
      <w:pPr>
        <w:spacing w:line="360" w:lineRule="auto"/>
        <w:ind w:firstLine="640"/>
        <w:rPr>
          <w:rFonts w:ascii="仿宋_GB2312" w:eastAsia="仿宋_GB2312" w:cs="宋体" w:hint="eastAsia"/>
          <w:b/>
          <w:sz w:val="32"/>
          <w:szCs w:val="32"/>
          <w:bdr w:val="none" w:sz="0" w:space="0" w:color="auto"/>
        </w:rPr>
      </w:pPr>
      <w:r>
        <w:rPr>
          <w:rFonts w:ascii="仿宋_GB2312" w:eastAsia="仿宋_GB2312" w:hint="eastAsia"/>
          <w:b/>
          <w:sz w:val="32"/>
          <w:szCs w:val="32"/>
        </w:rPr>
        <w:t>（4）三方评审会。</w:t>
      </w:r>
      <w:r>
        <w:rPr>
          <w:rFonts w:ascii="仿宋_GB2312" w:eastAsia="仿宋_GB2312"/>
          <w:b/>
          <w:sz w:val="32"/>
          <w:szCs w:val="32"/>
        </w:rPr>
        <w:t>基建处</w:t>
      </w:r>
      <w:r>
        <w:rPr>
          <w:rFonts w:ascii="仿宋_GB2312" w:eastAsia="仿宋_GB2312" w:hint="eastAsia"/>
          <w:b/>
          <w:sz w:val="32"/>
          <w:szCs w:val="32"/>
        </w:rPr>
        <w:t>组织评估评审单位、建设单位和设计单位就可研报告或初步设计及评估、评审工作进行审定。评估、评审单位完善相关内容，</w:t>
      </w:r>
      <w:r>
        <w:rPr>
          <w:rFonts w:ascii="仿宋_GB2312" w:eastAsia="仿宋_GB2312" w:cs="宋体" w:hint="eastAsia"/>
          <w:b/>
          <w:sz w:val="32"/>
          <w:szCs w:val="32"/>
          <w:bdr w:val="none" w:sz="0" w:space="0" w:color="auto"/>
        </w:rPr>
        <w:t>按合同约定及时提交评估、评审最终报告。</w:t>
      </w:r>
    </w:p>
    <w:p>
      <w:pPr>
        <w:spacing w:line="360" w:lineRule="auto"/>
        <w:ind w:firstLine="640"/>
        <w:rPr>
          <w:rFonts w:ascii="楷体_GB2312" w:eastAsia="楷体_GB2312" w:hint="eastAsia"/>
          <w:b/>
          <w:sz w:val="32"/>
          <w:szCs w:val="32"/>
        </w:rPr>
      </w:pPr>
      <w:r>
        <w:rPr>
          <w:rFonts w:ascii="楷体_GB2312" w:eastAsia="楷体_GB2312" w:hint="eastAsia"/>
          <w:b/>
          <w:sz w:val="32"/>
          <w:szCs w:val="32"/>
        </w:rPr>
        <w:t>6、评估、评审人员</w:t>
      </w:r>
    </w:p>
    <w:p>
      <w:pPr>
        <w:spacing w:line="360" w:lineRule="auto"/>
        <w:ind w:firstLine="640"/>
        <w:rPr>
          <w:rFonts w:ascii="仿宋_GB2312" w:eastAsia="仿宋_GB2312" w:hint="eastAsia"/>
          <w:b/>
          <w:sz w:val="32"/>
          <w:szCs w:val="32"/>
        </w:rPr>
      </w:pPr>
      <w:r>
        <w:rPr>
          <w:rFonts w:ascii="仿宋_GB2312" w:eastAsia="仿宋_GB2312" w:hint="eastAsia"/>
          <w:b/>
          <w:sz w:val="32"/>
          <w:szCs w:val="32"/>
        </w:rPr>
        <w:t>参与具体评估、评审工作的人员包括评估、评审单位的工作团队和专家组，要求如下：</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（1）评估、评审单位应筹建评估、评审专项工作团队，建立</w:t>
      </w:r>
      <w:r>
        <w:rPr>
          <w:rFonts w:ascii="仿宋_GB2312" w:eastAsia="仿宋_GB2312"/>
          <w:b/>
          <w:sz w:val="32"/>
          <w:szCs w:val="32"/>
        </w:rPr>
        <w:t>责任人和</w:t>
      </w:r>
      <w:r>
        <w:rPr>
          <w:rFonts w:ascii="仿宋_GB2312" w:eastAsia="仿宋_GB2312" w:hint="eastAsia"/>
          <w:b/>
          <w:sz w:val="32"/>
          <w:szCs w:val="32"/>
        </w:rPr>
        <w:t>联系人制度，</w:t>
      </w:r>
      <w:r>
        <w:rPr>
          <w:rFonts w:ascii="仿宋_GB2312" w:eastAsia="仿宋_GB2312"/>
          <w:b/>
          <w:sz w:val="32"/>
          <w:szCs w:val="32"/>
        </w:rPr>
        <w:t>明确采购项目的责任人和经办人，并</w:t>
      </w:r>
      <w:r>
        <w:rPr>
          <w:rFonts w:ascii="仿宋_GB2312" w:eastAsia="仿宋_GB2312" w:hint="eastAsia"/>
          <w:b/>
          <w:sz w:val="32"/>
          <w:szCs w:val="32"/>
        </w:rPr>
        <w:t>提供连续1年的社保证明</w:t>
      </w:r>
      <w:r>
        <w:rPr>
          <w:rFonts w:ascii="仿宋_GB2312" w:eastAsia="仿宋_GB2312"/>
          <w:b/>
          <w:sz w:val="32"/>
          <w:szCs w:val="32"/>
        </w:rPr>
        <w:t>，</w:t>
      </w:r>
      <w:r>
        <w:rPr>
          <w:rFonts w:ascii="仿宋_GB2312" w:eastAsia="仿宋_GB2312" w:hint="eastAsia"/>
          <w:b/>
          <w:sz w:val="32"/>
          <w:szCs w:val="32"/>
        </w:rPr>
        <w:t>报</w:t>
      </w:r>
      <w:r>
        <w:rPr>
          <w:rFonts w:ascii="仿宋_GB2312" w:eastAsia="仿宋_GB2312"/>
          <w:b/>
          <w:sz w:val="32"/>
          <w:szCs w:val="32"/>
        </w:rPr>
        <w:t>基建处</w:t>
      </w:r>
      <w:r>
        <w:rPr>
          <w:rFonts w:ascii="仿宋_GB2312" w:eastAsia="仿宋_GB2312" w:hint="eastAsia"/>
          <w:b/>
          <w:sz w:val="32"/>
          <w:szCs w:val="32"/>
        </w:rPr>
        <w:t>备案。工作团队要合理配备各专业的从业成员满足项目咨询需求，并提供拟派人员情况的说明及相应的资格证明。</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（2）评估、评审项目应由专人负责、协调、督办、落实评估、评审项目进展工作，评估、评审人员应相对稳定，保证评估、评审工作顺利快速推进，如有变动需提前报</w:t>
      </w:r>
      <w:r>
        <w:rPr>
          <w:rFonts w:ascii="仿宋_GB2312" w:eastAsia="仿宋_GB2312"/>
          <w:b/>
          <w:sz w:val="32"/>
          <w:szCs w:val="32"/>
        </w:rPr>
        <w:t>基建处</w:t>
      </w:r>
      <w:r>
        <w:rPr>
          <w:rFonts w:ascii="仿宋_GB2312" w:eastAsia="仿宋_GB2312" w:hint="eastAsia"/>
          <w:b/>
          <w:sz w:val="32"/>
          <w:szCs w:val="32"/>
        </w:rPr>
        <w:t>批准，征得同意后方可变动。</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（3）每个工程咨询项目的工作团队至少配备1名注册</w:t>
      </w:r>
      <w:r>
        <w:rPr>
          <w:rFonts w:ascii="仿宋_GB2312" w:eastAsia="仿宋_GB2312"/>
          <w:b/>
          <w:sz w:val="32"/>
          <w:szCs w:val="32"/>
        </w:rPr>
        <w:t>咨询</w:t>
      </w:r>
      <w:r>
        <w:rPr>
          <w:rFonts w:ascii="仿宋_GB2312" w:eastAsia="仿宋_GB2312" w:hint="eastAsia"/>
          <w:b/>
          <w:sz w:val="32"/>
          <w:szCs w:val="32"/>
        </w:rPr>
        <w:t>工程师</w:t>
      </w:r>
      <w:r>
        <w:rPr>
          <w:rFonts w:ascii="仿宋_GB2312" w:eastAsia="仿宋_GB2312"/>
          <w:b/>
          <w:sz w:val="32"/>
          <w:szCs w:val="32"/>
        </w:rPr>
        <w:t>（投资）</w:t>
      </w:r>
      <w:r>
        <w:rPr>
          <w:rFonts w:ascii="仿宋_GB2312" w:eastAsia="仿宋_GB2312" w:hint="eastAsia"/>
          <w:b/>
          <w:sz w:val="32"/>
          <w:szCs w:val="32"/>
        </w:rPr>
        <w:t>，执业时间不少于3年。必须以正式在册的注册工程师参与项目咨询工作，并提供该注册</w:t>
      </w:r>
      <w:r>
        <w:rPr>
          <w:rFonts w:ascii="仿宋_GB2312" w:eastAsia="仿宋_GB2312"/>
          <w:b/>
          <w:sz w:val="32"/>
          <w:szCs w:val="32"/>
        </w:rPr>
        <w:t>咨询</w:t>
      </w:r>
      <w:r>
        <w:rPr>
          <w:rFonts w:ascii="仿宋_GB2312" w:eastAsia="仿宋_GB2312" w:hint="eastAsia"/>
          <w:b/>
          <w:sz w:val="32"/>
          <w:szCs w:val="32"/>
        </w:rPr>
        <w:t>工程师</w:t>
      </w:r>
      <w:r>
        <w:rPr>
          <w:rFonts w:ascii="仿宋_GB2312" w:eastAsia="仿宋_GB2312"/>
          <w:b/>
          <w:sz w:val="32"/>
          <w:szCs w:val="32"/>
        </w:rPr>
        <w:t>（投资）</w:t>
      </w:r>
      <w:r>
        <w:rPr>
          <w:rFonts w:ascii="仿宋_GB2312" w:eastAsia="仿宋_GB2312" w:hint="eastAsia"/>
          <w:b/>
          <w:sz w:val="32"/>
          <w:szCs w:val="32"/>
        </w:rPr>
        <w:t>连续1年的社保证明。</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（4）专家组应由工程涉及到的规划、建筑、结构、给排水、暖通、电气、</w:t>
      </w:r>
      <w:r>
        <w:rPr>
          <w:rFonts w:ascii="仿宋_GB2312" w:eastAsia="仿宋_GB2312"/>
          <w:b/>
          <w:sz w:val="32"/>
          <w:szCs w:val="32"/>
        </w:rPr>
        <w:t>造价及信息化</w:t>
      </w:r>
      <w:r>
        <w:rPr>
          <w:rFonts w:ascii="仿宋_GB2312" w:eastAsia="仿宋_GB2312" w:hint="eastAsia"/>
          <w:b/>
          <w:sz w:val="32"/>
          <w:szCs w:val="32"/>
        </w:rPr>
        <w:t>等专业的专家组成。</w:t>
      </w:r>
    </w:p>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7、评估、评审时限</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（1）评估、评审单位须在接受</w:t>
      </w:r>
      <w:r>
        <w:rPr>
          <w:rFonts w:ascii="仿宋_GB2312" w:eastAsia="仿宋_GB2312"/>
          <w:b/>
          <w:sz w:val="32"/>
          <w:szCs w:val="32"/>
        </w:rPr>
        <w:t>基建处</w:t>
      </w:r>
      <w:r>
        <w:rPr>
          <w:rFonts w:ascii="仿宋_GB2312" w:eastAsia="仿宋_GB2312" w:hint="eastAsia"/>
          <w:b/>
          <w:sz w:val="32"/>
          <w:szCs w:val="32"/>
        </w:rPr>
        <w:t>工程咨询业务委托起3日内向</w:t>
      </w:r>
      <w:r>
        <w:rPr>
          <w:rFonts w:ascii="仿宋_GB2312" w:eastAsia="仿宋_GB2312"/>
          <w:b/>
          <w:sz w:val="32"/>
          <w:szCs w:val="32"/>
        </w:rPr>
        <w:t>基建处</w:t>
      </w:r>
      <w:r>
        <w:rPr>
          <w:rFonts w:ascii="仿宋_GB2312" w:eastAsia="仿宋_GB2312" w:hint="eastAsia"/>
          <w:b/>
          <w:sz w:val="32"/>
          <w:szCs w:val="32"/>
        </w:rPr>
        <w:t>提交</w:t>
      </w:r>
      <w:r>
        <w:rPr>
          <w:rFonts w:ascii="仿宋_GB2312" w:eastAsia="仿宋_GB2312"/>
          <w:b/>
          <w:sz w:val="32"/>
          <w:szCs w:val="32"/>
        </w:rPr>
        <w:t>包含工作团队和专家组在内的</w:t>
      </w:r>
      <w:r>
        <w:rPr>
          <w:rFonts w:ascii="仿宋_GB2312" w:eastAsia="仿宋_GB2312" w:hint="eastAsia"/>
          <w:b/>
          <w:sz w:val="32"/>
          <w:szCs w:val="32"/>
        </w:rPr>
        <w:t>项目人员组织结构、受托咨询业务工作组织计划方案。</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2）评估、评审单位应提前提出工程咨询业务所需资料清单并在开始咨询工作前进行清点、确认，如存在提供的工程资料不全等影响咨询工作进度的事宜，评估、评审单位应在接收工程资料的2个工作日内提出，并书面通知建设单位及设计单位。</w:t>
      </w:r>
    </w:p>
    <w:p>
      <w:pPr>
        <w:widowControl/>
        <w:autoSpaceDE w:val="0"/>
        <w:autoSpaceDN w:val="0"/>
        <w:spacing w:line="240" w:lineRule="auto"/>
        <w:textAlignment w:val="auto"/>
        <w:rPr>
          <w:rFonts w:ascii="仿宋_GB2312" w:eastAsia="仿宋_GB2312" w:hint="eastAsia"/>
          <w:b/>
          <w:sz w:val="32"/>
          <w:szCs w:val="32"/>
        </w:rPr>
      </w:pPr>
      <w:r>
        <w:rPr>
          <w:rFonts w:ascii="仿宋_GB2312" w:eastAsia="仿宋_GB2312" w:hint="eastAsia"/>
          <w:b/>
          <w:sz w:val="32"/>
          <w:szCs w:val="32"/>
        </w:rPr>
        <w:t xml:space="preserve">    （3）评估、评审时限以评估、评审单位自签字确认工程资料交接清单之日起到向</w:t>
      </w:r>
      <w:r>
        <w:rPr>
          <w:rFonts w:ascii="仿宋_GB2312" w:eastAsia="仿宋_GB2312"/>
          <w:b/>
          <w:sz w:val="32"/>
          <w:szCs w:val="32"/>
        </w:rPr>
        <w:t>基建处</w:t>
      </w:r>
      <w:r>
        <w:rPr>
          <w:rFonts w:ascii="仿宋_GB2312" w:eastAsia="仿宋_GB2312" w:hint="eastAsia"/>
          <w:b/>
          <w:sz w:val="32"/>
          <w:szCs w:val="32"/>
        </w:rPr>
        <w:t>提供经建设单位及相关单位同意的评估、评审报告时间为止，具体时限按照项目的概算投资额确定。建设单位和设计单位对设计文件进行修改、补充所需的时间,不计入规定的评估、评审时限。</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（4）各类项目的评估、评审时限如下：</w:t>
      </w:r>
    </w:p>
    <w:tbl>
      <w:tblPr>
        <w:jc w:val="left"/>
        <w:tblInd w:w="0" w:type="dxa"/>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41"/>
        <w:gridCol w:w="1781"/>
        <w:gridCol w:w="2250"/>
        <w:gridCol w:w="2250"/>
      </w:tblGrid>
      <w:tr>
        <w:trPr>
          <w:trHeight w:val="970"/>
        </w:trPr>
        <w:tc>
          <w:tcPr>
            <w:tcW w:w="2868"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概算投资额（万元）</w:t>
            </w:r>
          </w:p>
        </w:tc>
        <w:tc>
          <w:tcPr>
            <w:tcW w:w="2280"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1500以下</w:t>
            </w:r>
          </w:p>
        </w:tc>
        <w:tc>
          <w:tcPr>
            <w:tcW w:w="2880"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1500-3000</w:t>
            </w:r>
          </w:p>
        </w:tc>
        <w:tc>
          <w:tcPr>
            <w:tcW w:w="2880"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3000以上</w:t>
            </w:r>
          </w:p>
        </w:tc>
      </w:tr>
      <w:tr>
        <w:tc>
          <w:tcPr>
            <w:tcW w:w="2868"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时限（工作日）</w:t>
            </w:r>
          </w:p>
        </w:tc>
        <w:tc>
          <w:tcPr>
            <w:tcW w:w="2280"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5</w:t>
            </w:r>
          </w:p>
        </w:tc>
        <w:tc>
          <w:tcPr>
            <w:tcW w:w="2880"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8</w:t>
            </w:r>
          </w:p>
        </w:tc>
        <w:tc>
          <w:tcPr>
            <w:tcW w:w="2880" w:type="dxa"/>
            <w:vAlign w:val="center"/>
          </w:tcPr>
          <w:p>
            <w:pPr>
              <w:spacing w:line="360" w:lineRule="auto"/>
              <w:jc w:val="center"/>
              <w:rPr>
                <w:rFonts w:ascii="仿宋_GB2312" w:eastAsia="仿宋_GB2312" w:hint="eastAsia"/>
                <w:b/>
                <w:sz w:val="32"/>
                <w:szCs w:val="32"/>
              </w:rPr>
            </w:pPr>
            <w:r>
              <w:rPr>
                <w:rFonts w:ascii="仿宋_GB2312" w:eastAsia="仿宋_GB2312" w:hint="eastAsia"/>
                <w:b/>
                <w:sz w:val="32"/>
                <w:szCs w:val="32"/>
              </w:rPr>
              <w:t>10</w:t>
            </w:r>
          </w:p>
        </w:tc>
      </w:tr>
    </w:tbl>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8、 应急方案</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评估、评审单位应制定单独的应急方案，以满足</w:t>
      </w:r>
      <w:r>
        <w:rPr>
          <w:rFonts w:ascii="仿宋_GB2312" w:eastAsia="仿宋_GB2312"/>
          <w:b/>
          <w:sz w:val="32"/>
          <w:szCs w:val="32"/>
        </w:rPr>
        <w:t>基建处</w:t>
      </w:r>
      <w:r>
        <w:rPr>
          <w:rFonts w:ascii="仿宋_GB2312" w:eastAsia="仿宋_GB2312" w:hint="eastAsia"/>
          <w:b/>
          <w:sz w:val="32"/>
          <w:szCs w:val="32"/>
        </w:rPr>
        <w:t>同时交付大量项目评估、评审时的工作需要，具体内容包括但不限于：</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（1）不得以任何理由拒绝接收</w:t>
      </w:r>
      <w:r>
        <w:rPr>
          <w:rFonts w:ascii="仿宋_GB2312" w:eastAsia="仿宋_GB2312"/>
          <w:b/>
          <w:sz w:val="32"/>
          <w:szCs w:val="32"/>
        </w:rPr>
        <w:t>基建处</w:t>
      </w:r>
      <w:r>
        <w:rPr>
          <w:rFonts w:ascii="仿宋_GB2312" w:eastAsia="仿宋_GB2312" w:hint="eastAsia"/>
          <w:b/>
          <w:sz w:val="32"/>
          <w:szCs w:val="32"/>
        </w:rPr>
        <w:t>交付的评估、评审任务。</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（2）合理测算单个工作团队的最大任务量，以项目投资额为标准算出具体数值，结果要符合客观实际，不得高估冒算。</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（3）接收的任务量超出现有工作团队任务量时必须启动应急方案。</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（4）应急方案中要对任务量进行分级，不同级别指派不同数量的工作团队同时进场评估、评审，工作团队的数量应大于等于接收任务量除以单个工作团队最大任务量的比值。</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（5）增派工作团队的评估、评审人员和时限要求执行</w:t>
      </w:r>
      <w:r>
        <w:rPr>
          <w:rFonts w:ascii="仿宋_GB2312" w:eastAsia="仿宋_GB2312"/>
          <w:b/>
          <w:sz w:val="32"/>
          <w:szCs w:val="32"/>
        </w:rPr>
        <w:t>采购</w:t>
      </w:r>
      <w:r>
        <w:rPr>
          <w:rFonts w:ascii="仿宋_GB2312" w:eastAsia="仿宋_GB2312" w:hint="eastAsia"/>
          <w:b/>
          <w:sz w:val="32"/>
          <w:szCs w:val="32"/>
        </w:rPr>
        <w:t>文件中的有关规定。</w:t>
      </w:r>
    </w:p>
    <w:p>
      <w:pPr>
        <w:spacing w:line="360" w:lineRule="auto"/>
        <w:ind w:firstLineChars="200" w:firstLine="640"/>
        <w:rPr>
          <w:rFonts w:ascii="仿宋_GB2312" w:eastAsia="仿宋_GB2312" w:hint="eastAsia"/>
          <w:b/>
          <w:sz w:val="32"/>
          <w:szCs w:val="32"/>
        </w:rPr>
      </w:pPr>
      <w:r>
        <w:rPr>
          <w:rFonts w:ascii="楷体_GB2312" w:eastAsia="楷体_GB2312" w:hint="eastAsia"/>
          <w:b/>
          <w:sz w:val="32"/>
          <w:szCs w:val="32"/>
        </w:rPr>
        <w:t>9、评估、评审单位职责</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（1）按委托要求开展评估、评审工作，对评估、评审结论的真实性、准确性和可行性负责。</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（2）独立完成评估、评审任务，不得转让评估、评审任务。</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（3）从政策、经济、技术、安全、节能等方面对项目进行全面评估、评审，分析项目实施过程中可能出现的风险因素，提出科学、合理的评估、评审结论，核实项目总投资。</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（4）评估、评审过程中，应及时向</w:t>
      </w:r>
      <w:r>
        <w:rPr>
          <w:rFonts w:ascii="仿宋_GB2312" w:eastAsia="仿宋_GB2312"/>
          <w:b/>
          <w:sz w:val="32"/>
          <w:szCs w:val="32"/>
        </w:rPr>
        <w:t>基建处</w:t>
      </w:r>
      <w:r>
        <w:rPr>
          <w:rFonts w:ascii="仿宋_GB2312" w:eastAsia="仿宋_GB2312" w:hint="eastAsia"/>
          <w:b/>
          <w:sz w:val="32"/>
          <w:szCs w:val="32"/>
        </w:rPr>
        <w:t>反馈评估、评审进度及情况，需要</w:t>
      </w:r>
      <w:r>
        <w:rPr>
          <w:rFonts w:ascii="仿宋_GB2312" w:eastAsia="仿宋_GB2312"/>
          <w:b/>
          <w:sz w:val="32"/>
          <w:szCs w:val="32"/>
        </w:rPr>
        <w:t>基建处</w:t>
      </w:r>
      <w:r>
        <w:rPr>
          <w:rFonts w:ascii="仿宋_GB2312" w:eastAsia="仿宋_GB2312" w:hint="eastAsia"/>
          <w:b/>
          <w:sz w:val="32"/>
          <w:szCs w:val="32"/>
        </w:rPr>
        <w:t>、建设单位及设计单位解决的问题要第一时间反应，不得以其为借口拖慢评估、评审进程。</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（5）</w:t>
      </w:r>
      <w:r>
        <w:rPr>
          <w:rFonts w:ascii="仿宋_GB2312" w:eastAsia="仿宋_GB2312"/>
          <w:b/>
          <w:sz w:val="32"/>
          <w:szCs w:val="32"/>
        </w:rPr>
        <w:t>接到评估、评审任务后要编制评估、评审任务计划报基建处。</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（6）需在合同约定的时间内，向</w:t>
      </w:r>
      <w:r>
        <w:rPr>
          <w:rFonts w:ascii="仿宋_GB2312" w:eastAsia="仿宋_GB2312"/>
          <w:b/>
          <w:sz w:val="32"/>
          <w:szCs w:val="32"/>
        </w:rPr>
        <w:t>基建处</w:t>
      </w:r>
      <w:r>
        <w:rPr>
          <w:rFonts w:ascii="仿宋_GB2312" w:eastAsia="仿宋_GB2312" w:hint="eastAsia"/>
          <w:b/>
          <w:sz w:val="32"/>
          <w:szCs w:val="32"/>
        </w:rPr>
        <w:t>报送评估、评审的初步报告和最终报告，最终报告提交时应由评估、评审单位指定的负责人签字确认。</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（7）主动回避与自己有利害关系的项目的评估、评审活动。</w:t>
      </w:r>
    </w:p>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10、评估、评审质量</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评估、评审单位应对其出具的最终报告内容的真实性、合法性、准确性、可行性负责，具体评估、评审环节包括：</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（1）审核采暖、空调、热力、通风、给排水、消防、电气、弱电、总图</w:t>
      </w:r>
      <w:r>
        <w:rPr>
          <w:rFonts w:ascii="仿宋_GB2312" w:eastAsia="仿宋_GB2312"/>
          <w:b/>
          <w:sz w:val="32"/>
          <w:szCs w:val="32"/>
        </w:rPr>
        <w:t>、信息化</w:t>
      </w:r>
      <w:r>
        <w:rPr>
          <w:rFonts w:ascii="仿宋_GB2312" w:eastAsia="仿宋_GB2312" w:hint="eastAsia"/>
          <w:b/>
          <w:sz w:val="32"/>
          <w:szCs w:val="32"/>
        </w:rPr>
        <w:t>等各专业是否有足以保证总概算编制要求的设备材料表，如果缺失或未达到深度要求，要及时向建设单位、设计单位反映情况进行补充。</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（2）审核主要设备和材料是否有重复、漏项，对主要设备和材料中技术等级、规格不明确的，及时与有关人员交流、落实。</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（3）根据报审文件，对建筑、结构、装饰、室外工程的工程量</w:t>
      </w:r>
      <w:r>
        <w:rPr>
          <w:rFonts w:ascii="仿宋_GB2312" w:eastAsia="仿宋_GB2312"/>
          <w:b/>
          <w:sz w:val="32"/>
          <w:szCs w:val="32"/>
        </w:rPr>
        <w:t>，系统配置及软硬件选型和配置</w:t>
      </w:r>
      <w:r>
        <w:rPr>
          <w:rFonts w:ascii="仿宋_GB2312" w:eastAsia="仿宋_GB2312" w:hint="eastAsia"/>
          <w:b/>
          <w:sz w:val="32"/>
          <w:szCs w:val="32"/>
        </w:rPr>
        <w:t>进行复算。</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（4）逐项查看定额子目是否准确、换算或补充定额是否有误。</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 xml:space="preserve">（5）审核特殊技术措施（如降水、护坡、高压线临时处理等）方案与费用是否匹配合理。 </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（6）审核通用措施费是否与工况相符。</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（7）审核取费程序是否准确。</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（8）及时发现、判断个别重要定额子项目与实际的市场行情是否严重偏离, 遇到类似子目，及时反馈商讨。</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 xml:space="preserve">（9）审核总概算汇总数据是否重复或漏项、计量单位是否准确、子项和单位工程划分汇总是否合理。 </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（10）审核二类费用内容是否超范围、依据是否妥当、计取是否合理。</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 xml:space="preserve">（11）统一复核工程中各子项相同材料、设备的价格,与已掌握的数据库进行对比，与同类工程对比，结合项目具体要求以及市场行情，调整确定最后数据。 </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（12）编制报审与评估、评审核定结果对比汇总表。</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（13）及时提出评估、评审报告，根据项目实际工况,结合市场实际行情，对一些重要内容（品种、规格、档次、市场波动方向等）</w:t>
      </w:r>
      <w:bookmarkStart w:id="0" w:name="_GoBack"/>
      <w:bookmarkEnd w:id="0"/>
      <w:r>
        <w:rPr>
          <w:rFonts w:ascii="仿宋_GB2312" w:eastAsia="仿宋_GB2312" w:hint="eastAsia"/>
          <w:b/>
          <w:sz w:val="32"/>
          <w:szCs w:val="32"/>
        </w:rPr>
        <w:t xml:space="preserve">给出参考性建议。 </w:t>
      </w:r>
    </w:p>
    <w:p>
      <w:pPr>
        <w:spacing w:line="360" w:lineRule="auto"/>
        <w:ind w:firstLineChars="200" w:firstLine="640"/>
        <w:rPr>
          <w:rFonts w:ascii="仿宋_GB2312" w:eastAsia="仿宋_GB2312"/>
          <w:b/>
          <w:sz w:val="32"/>
          <w:szCs w:val="32"/>
        </w:rPr>
      </w:pPr>
      <w:r>
        <w:rPr>
          <w:rFonts w:ascii="仿宋_GB2312" w:eastAsia="仿宋_GB2312" w:hint="eastAsia"/>
          <w:b/>
          <w:sz w:val="32"/>
          <w:szCs w:val="32"/>
        </w:rPr>
        <w:t>（14）对项目文件进行完整归档、备份，做到保存完整、整理规范，不遗漏、不散失，使用的过程性文件及时清退。</w:t>
      </w:r>
    </w:p>
    <w:p>
      <w:pPr>
        <w:spacing w:line="360" w:lineRule="auto"/>
        <w:ind w:firstLineChars="200" w:firstLine="640"/>
        <w:rPr>
          <w:rFonts w:ascii="仿宋_GB2312" w:eastAsia="仿宋_GB2312"/>
          <w:b/>
          <w:sz w:val="32"/>
          <w:szCs w:val="32"/>
        </w:rPr>
      </w:pPr>
      <w:r>
        <w:rPr>
          <w:rFonts w:ascii="楷体_GB2312" w:eastAsia="楷体_GB2312" w:hint="eastAsia"/>
          <w:b/>
          <w:sz w:val="32"/>
          <w:szCs w:val="32"/>
        </w:rPr>
        <w:t>11、评估、评审资料归档和移交</w:t>
      </w:r>
    </w:p>
    <w:p>
      <w:pPr>
        <w:spacing w:line="360" w:lineRule="auto"/>
        <w:ind w:firstLineChars="200" w:firstLine="640"/>
        <w:rPr>
          <w:rFonts w:ascii="仿宋_GB2312" w:eastAsia="仿宋_GB2312"/>
          <w:b/>
          <w:sz w:val="32"/>
          <w:szCs w:val="32"/>
        </w:rPr>
      </w:pPr>
      <w:r>
        <w:rPr>
          <w:rFonts w:ascii="仿宋_GB2312" w:eastAsia="仿宋_GB2312"/>
          <w:b/>
          <w:sz w:val="32"/>
          <w:szCs w:val="32"/>
        </w:rPr>
        <w:t>评估、评审单位在项目评估、评审结束后，应及时将各项目的评估、评审资料归档。各项目资料应按照立项申请文件、可行性研究报告、初步设计方案、估概算表格、评估评审文件以及其他依据文件的顺序依次归档，在</w:t>
      </w:r>
      <w:r>
        <w:rPr>
          <w:rFonts w:ascii="仿宋_GB2312" w:eastAsia="仿宋_GB2312" w:hint="eastAsia"/>
          <w:b/>
          <w:sz w:val="32"/>
          <w:szCs w:val="32"/>
        </w:rPr>
        <w:t>中直机关2017年度</w:t>
      </w:r>
      <w:r>
        <w:rPr>
          <w:rFonts w:ascii="仿宋_GB2312" w:eastAsia="仿宋_GB2312"/>
          <w:b/>
          <w:sz w:val="32"/>
          <w:szCs w:val="32"/>
        </w:rPr>
        <w:t>（部门内）</w:t>
      </w:r>
      <w:r>
        <w:rPr>
          <w:rFonts w:ascii="仿宋_GB2312" w:eastAsia="仿宋_GB2312" w:hint="eastAsia"/>
          <w:b/>
          <w:sz w:val="32"/>
          <w:szCs w:val="32"/>
        </w:rPr>
        <w:t>投资计划项目</w:t>
      </w:r>
      <w:r>
        <w:rPr>
          <w:rFonts w:ascii="仿宋_GB2312" w:eastAsia="仿宋_GB2312"/>
          <w:b/>
          <w:sz w:val="32"/>
          <w:szCs w:val="32"/>
        </w:rPr>
        <w:t>评审</w:t>
      </w:r>
      <w:r>
        <w:rPr>
          <w:rFonts w:ascii="仿宋_GB2312" w:eastAsia="仿宋_GB2312" w:hint="eastAsia"/>
          <w:b/>
          <w:sz w:val="32"/>
          <w:szCs w:val="32"/>
        </w:rPr>
        <w:t>工作</w:t>
      </w:r>
      <w:r>
        <w:rPr>
          <w:rFonts w:ascii="仿宋_GB2312" w:eastAsia="仿宋_GB2312"/>
          <w:b/>
          <w:sz w:val="32"/>
          <w:szCs w:val="32"/>
        </w:rPr>
        <w:t>结束后五个工作日内全部移交基建处。</w:t>
      </w:r>
    </w:p>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1</w:t>
      </w:r>
      <w:r>
        <w:rPr>
          <w:rFonts w:ascii="楷体_GB2312" w:eastAsia="楷体_GB2312"/>
          <w:b/>
          <w:sz w:val="32"/>
          <w:szCs w:val="32"/>
        </w:rPr>
        <w:t>2</w:t>
      </w:r>
      <w:r>
        <w:rPr>
          <w:rFonts w:ascii="楷体_GB2312" w:eastAsia="楷体_GB2312" w:hint="eastAsia"/>
          <w:b/>
          <w:sz w:val="32"/>
          <w:szCs w:val="32"/>
        </w:rPr>
        <w:t>、保密条款</w:t>
      </w:r>
    </w:p>
    <w:p>
      <w:pPr>
        <w:spacing w:line="360" w:lineRule="auto"/>
        <w:ind w:firstLineChars="200" w:firstLine="640"/>
        <w:rPr>
          <w:rFonts w:ascii="仿宋_GB2312" w:eastAsia="仿宋_GB2312" w:hint="eastAsia"/>
          <w:b/>
          <w:sz w:val="32"/>
          <w:szCs w:val="32"/>
        </w:rPr>
      </w:pPr>
      <w:r>
        <w:rPr>
          <w:rFonts w:ascii="仿宋_GB2312" w:eastAsia="仿宋_GB2312" w:hint="eastAsia"/>
          <w:b/>
          <w:sz w:val="32"/>
          <w:szCs w:val="32"/>
        </w:rPr>
        <w:t>对执行业务过程中知悉的</w:t>
      </w:r>
      <w:r>
        <w:rPr>
          <w:rFonts w:ascii="仿宋_GB2312" w:eastAsia="仿宋_GB2312"/>
          <w:b/>
          <w:sz w:val="32"/>
          <w:szCs w:val="32"/>
        </w:rPr>
        <w:t>采购</w:t>
      </w:r>
      <w:r>
        <w:rPr>
          <w:rFonts w:ascii="仿宋_GB2312" w:eastAsia="仿宋_GB2312" w:hint="eastAsia"/>
          <w:b/>
          <w:sz w:val="32"/>
          <w:szCs w:val="32"/>
        </w:rPr>
        <w:t>人及</w:t>
      </w:r>
      <w:r>
        <w:rPr>
          <w:rFonts w:ascii="仿宋_GB2312" w:eastAsia="仿宋_GB2312"/>
          <w:b/>
          <w:sz w:val="32"/>
          <w:szCs w:val="32"/>
        </w:rPr>
        <w:t>采购</w:t>
      </w:r>
      <w:r>
        <w:rPr>
          <w:rFonts w:ascii="仿宋_GB2312" w:eastAsia="仿宋_GB2312" w:hint="eastAsia"/>
          <w:b/>
          <w:sz w:val="32"/>
          <w:szCs w:val="32"/>
        </w:rPr>
        <w:t>人下属分支机构工作秘密严加保密，除非经项目单位同意，</w:t>
      </w:r>
      <w:r>
        <w:rPr>
          <w:rFonts w:ascii="仿宋_GB2312" w:eastAsia="仿宋_GB2312"/>
          <w:b/>
          <w:sz w:val="32"/>
          <w:szCs w:val="32"/>
        </w:rPr>
        <w:t>评估、评审单位</w:t>
      </w:r>
      <w:r>
        <w:rPr>
          <w:rFonts w:ascii="仿宋_GB2312" w:eastAsia="仿宋_GB2312" w:hint="eastAsia"/>
          <w:b/>
          <w:sz w:val="32"/>
          <w:szCs w:val="32"/>
        </w:rPr>
        <w:t>不得将其知悉的工作秘密和</w:t>
      </w:r>
      <w:r>
        <w:rPr>
          <w:rFonts w:ascii="仿宋_GB2312" w:eastAsia="仿宋_GB2312"/>
          <w:b/>
          <w:sz w:val="32"/>
          <w:szCs w:val="32"/>
        </w:rPr>
        <w:t>采购</w:t>
      </w:r>
      <w:r>
        <w:rPr>
          <w:rFonts w:ascii="仿宋_GB2312" w:eastAsia="仿宋_GB2312" w:hint="eastAsia"/>
          <w:b/>
          <w:sz w:val="32"/>
          <w:szCs w:val="32"/>
        </w:rPr>
        <w:t>人及其所属分支机构提供的一切资料对外泄露，否则承担相应的法律责任。</w:t>
      </w:r>
    </w:p>
    <w:p>
      <w:pPr>
        <w:spacing w:line="360" w:lineRule="auto"/>
        <w:ind w:firstLineChars="200" w:firstLine="640"/>
        <w:rPr>
          <w:rFonts w:ascii="楷体_GB2312" w:eastAsia="楷体_GB2312" w:hint="eastAsia"/>
          <w:b/>
          <w:sz w:val="32"/>
          <w:szCs w:val="32"/>
        </w:rPr>
      </w:pPr>
      <w:r>
        <w:rPr>
          <w:rFonts w:ascii="楷体_GB2312" w:eastAsia="楷体_GB2312" w:hint="eastAsia"/>
          <w:b/>
          <w:sz w:val="32"/>
          <w:szCs w:val="32"/>
        </w:rPr>
        <w:t>1</w:t>
      </w:r>
      <w:r>
        <w:rPr>
          <w:rFonts w:ascii="楷体_GB2312" w:eastAsia="楷体_GB2312"/>
          <w:b/>
          <w:sz w:val="32"/>
          <w:szCs w:val="32"/>
        </w:rPr>
        <w:t>3</w:t>
      </w:r>
      <w:r>
        <w:rPr>
          <w:rFonts w:ascii="楷体_GB2312" w:eastAsia="楷体_GB2312" w:hint="eastAsia"/>
          <w:b/>
          <w:sz w:val="32"/>
          <w:szCs w:val="32"/>
        </w:rPr>
        <w:t>、评估、评审取费标准</w:t>
      </w:r>
    </w:p>
    <w:p>
      <w:pPr>
        <w:spacing w:line="360" w:lineRule="auto"/>
        <w:ind w:firstLineChars="200" w:firstLine="640"/>
        <w:rPr>
          <w:rFonts w:ascii="仿宋_GB2312" w:eastAsia="仿宋_GB2312"/>
          <w:b/>
          <w:sz w:val="32"/>
          <w:szCs w:val="32"/>
        </w:rPr>
      </w:pPr>
      <w:r>
        <w:rPr>
          <w:rFonts w:ascii="仿宋_GB2312" w:eastAsia="仿宋_GB2312" w:hint="eastAsia"/>
          <w:b/>
          <w:sz w:val="32"/>
          <w:szCs w:val="32"/>
        </w:rPr>
        <w:t>评估、评审的基准取费可参考项目申报可研、概算投资额分档计取，在相应的区间用插入法计算，但不得超出此标准。各参加竞争性谈判的单位依据自身综合实力，可以向下浮动，只需报折扣比例即可</w:t>
      </w:r>
      <w:r>
        <w:rPr>
          <w:rFonts w:ascii="仿宋_GB2312" w:eastAsia="仿宋_GB2312"/>
          <w:b/>
          <w:sz w:val="32"/>
          <w:szCs w:val="32"/>
        </w:rPr>
        <w:t>。</w:t>
      </w:r>
      <w:r>
        <w:rPr>
          <w:rFonts w:ascii="仿宋_GB2312" w:eastAsia="仿宋_GB2312" w:hint="eastAsia"/>
          <w:b/>
          <w:sz w:val="32"/>
          <w:szCs w:val="32"/>
        </w:rPr>
        <w:t>可行性研究报告和初步设计方案</w:t>
      </w:r>
      <w:r>
        <w:rPr>
          <w:rFonts w:ascii="仿宋_GB2312" w:eastAsia="仿宋_GB2312"/>
          <w:b/>
          <w:sz w:val="32"/>
          <w:szCs w:val="32"/>
        </w:rPr>
        <w:t>各报一个折扣比例，</w:t>
      </w:r>
      <w:r>
        <w:rPr>
          <w:rFonts w:ascii="仿宋_GB2312" w:eastAsia="仿宋_GB2312" w:hint="eastAsia"/>
          <w:b/>
          <w:sz w:val="32"/>
          <w:szCs w:val="32"/>
        </w:rPr>
        <w:t>折扣比例之和最低者为最低报价。</w:t>
      </w:r>
    </w:p>
    <w:p>
      <w:pPr>
        <w:widowControl/>
        <w:adjustRightInd w:val="0"/>
        <w:snapToGrid w:val="0"/>
        <w:spacing w:line="560" w:lineRule="exact"/>
        <w:ind w:firstLine="560"/>
        <w:jc w:val="left"/>
        <w:rPr>
          <w:rFonts w:ascii="仿宋_GB2312" w:eastAsia="仿宋_GB2312" w:cs="宋体" w:hint="eastAsia"/>
          <w:b/>
          <w:bCs/>
          <w:sz w:val="32"/>
          <w:szCs w:val="32"/>
        </w:rPr>
      </w:pPr>
      <w:r>
        <w:rPr>
          <w:rFonts w:ascii="仿宋_GB2312" w:eastAsia="仿宋_GB2312" w:hint="eastAsia"/>
          <w:b/>
          <w:bCs/>
          <w:sz w:val="32"/>
          <w:szCs w:val="32"/>
        </w:rPr>
        <w:t>（1）</w:t>
      </w:r>
      <w:r>
        <w:rPr>
          <w:rFonts w:ascii="仿宋_GB2312" w:eastAsia="仿宋_GB2312" w:cs="宋体" w:hint="eastAsia"/>
          <w:b/>
          <w:bCs/>
          <w:sz w:val="32"/>
          <w:szCs w:val="32"/>
          <w:bdr w:val="none" w:sz="0" w:space="0" w:color="auto"/>
        </w:rPr>
        <w:t>评估（可行性研究报告）的基准取费应按项目申报估算投资额分档计取，在相应的区间用插入法计算：</w:t>
      </w:r>
    </w:p>
    <w:p>
      <w:pPr>
        <w:widowControl/>
        <w:adjustRightInd w:val="0"/>
        <w:snapToGrid w:val="0"/>
        <w:spacing w:line="560" w:lineRule="exact"/>
        <w:jc w:val="right"/>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单位：万元</w:t>
      </w:r>
    </w:p>
    <w:tbl>
      <w:tblPr>
        <w:jc w:val="left"/>
        <w:tblInd w:w="108" w:type="dxa"/>
        <w:tblW w:w="852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2777"/>
        <w:gridCol w:w="1914"/>
        <w:gridCol w:w="1915"/>
        <w:gridCol w:w="1915"/>
      </w:tblGrid>
      <w:tr>
        <w:tc>
          <w:tcPr>
            <w:tcW w:w="277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估算投资额</w:t>
            </w:r>
          </w:p>
        </w:tc>
        <w:tc>
          <w:tcPr>
            <w:tcW w:w="1914" w:type="dxa"/>
            <w:tcBorders>
              <w:top w:val="single" w:sz="8" w:space="0" w:color="auto"/>
              <w:left w:val="nil"/>
              <w:bottom w:val="single" w:sz="8" w:space="0" w:color="auto"/>
              <w:right w:val="single" w:sz="8" w:space="0" w:color="auto"/>
            </w:tcBorders>
            <w:tcMar>
              <w:left w:w="108" w:type="dxa"/>
              <w:right w:w="108" w:type="dxa"/>
            </w:tcMar>
            <w:vAlign w:val="center"/>
          </w:tcPr>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1500以下</w:t>
            </w:r>
          </w:p>
        </w:tc>
        <w:tc>
          <w:tcPr>
            <w:tcW w:w="1915" w:type="dxa"/>
            <w:tcBorders>
              <w:top w:val="single" w:sz="8" w:space="0" w:color="auto"/>
              <w:left w:val="nil"/>
              <w:bottom w:val="single" w:sz="8" w:space="0" w:color="auto"/>
              <w:right w:val="single" w:sz="8" w:space="0" w:color="auto"/>
            </w:tcBorders>
            <w:tcMar>
              <w:left w:w="108" w:type="dxa"/>
              <w:right w:w="108" w:type="dxa"/>
            </w:tcMar>
            <w:vAlign w:val="center"/>
          </w:tcPr>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1500-3000</w:t>
            </w:r>
          </w:p>
        </w:tc>
        <w:tc>
          <w:tcPr>
            <w:tcW w:w="1915" w:type="dxa"/>
            <w:tcBorders>
              <w:top w:val="single" w:sz="8" w:space="0" w:color="auto"/>
              <w:left w:val="nil"/>
              <w:bottom w:val="single" w:sz="8" w:space="0" w:color="auto"/>
              <w:right w:val="single" w:sz="8" w:space="0" w:color="auto"/>
            </w:tcBorders>
            <w:vAlign w:val="center"/>
          </w:tcPr>
          <w:p>
            <w:pPr>
              <w:widowControl/>
              <w:adjustRightInd w:val="0"/>
              <w:snapToGrid w:val="0"/>
              <w:spacing w:line="560" w:lineRule="exact"/>
              <w:jc w:val="center"/>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3000-10000</w:t>
            </w:r>
          </w:p>
        </w:tc>
      </w:tr>
      <w:tr>
        <w:tc>
          <w:tcPr>
            <w:tcW w:w="2777" w:type="dxa"/>
            <w:tcBorders>
              <w:top w:val="nil"/>
              <w:left w:val="single" w:sz="8" w:space="0" w:color="auto"/>
              <w:bottom w:val="single" w:sz="8" w:space="0" w:color="auto"/>
              <w:right w:val="single" w:sz="8" w:space="0" w:color="auto"/>
            </w:tcBorders>
            <w:tcMar>
              <w:left w:w="108" w:type="dxa"/>
              <w:right w:w="108" w:type="dxa"/>
            </w:tcMar>
            <w:vAlign w:val="center"/>
          </w:tcPr>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可行性研究报告</w:t>
            </w:r>
          </w:p>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评估取费</w:t>
            </w:r>
          </w:p>
        </w:tc>
        <w:tc>
          <w:tcPr>
            <w:tcW w:w="1914" w:type="dxa"/>
            <w:tcBorders>
              <w:top w:val="nil"/>
              <w:left w:val="nil"/>
              <w:bottom w:val="single" w:sz="8" w:space="0" w:color="auto"/>
              <w:right w:val="single" w:sz="8" w:space="0" w:color="auto"/>
            </w:tcBorders>
            <w:tcMar>
              <w:left w:w="108" w:type="dxa"/>
              <w:right w:w="108" w:type="dxa"/>
            </w:tcMar>
            <w:vAlign w:val="center"/>
          </w:tcPr>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2以下</w:t>
            </w:r>
          </w:p>
        </w:tc>
        <w:tc>
          <w:tcPr>
            <w:tcW w:w="1915" w:type="dxa"/>
            <w:tcBorders>
              <w:top w:val="nil"/>
              <w:left w:val="nil"/>
              <w:bottom w:val="single" w:sz="8" w:space="0" w:color="auto"/>
              <w:right w:val="single" w:sz="8" w:space="0" w:color="auto"/>
            </w:tcBorders>
            <w:tcMar>
              <w:left w:w="108" w:type="dxa"/>
              <w:right w:w="108" w:type="dxa"/>
            </w:tcMar>
            <w:vAlign w:val="center"/>
          </w:tcPr>
          <w:p>
            <w:pPr>
              <w:widowControl/>
              <w:adjustRightInd w:val="0"/>
              <w:snapToGrid w:val="0"/>
              <w:spacing w:line="560" w:lineRule="exact"/>
              <w:jc w:val="center"/>
              <w:rPr>
                <w:rFonts w:ascii="仿宋_GB2312" w:eastAsia="仿宋_GB2312" w:cs="宋体" w:hint="eastAsia"/>
                <w:b/>
                <w:bCs/>
                <w:sz w:val="32"/>
                <w:szCs w:val="32"/>
              </w:rPr>
            </w:pPr>
            <w:r>
              <w:rPr>
                <w:rFonts w:ascii="仿宋_GB2312" w:eastAsia="仿宋_GB2312" w:cs="宋体" w:hint="eastAsia"/>
                <w:b/>
                <w:bCs/>
                <w:sz w:val="32"/>
                <w:szCs w:val="32"/>
                <w:bdr w:val="none" w:sz="0" w:space="0" w:color="auto"/>
              </w:rPr>
              <w:t>2-5</w:t>
            </w:r>
          </w:p>
        </w:tc>
        <w:tc>
          <w:tcPr>
            <w:tcW w:w="1915" w:type="dxa"/>
            <w:tcBorders>
              <w:top w:val="nil"/>
              <w:left w:val="nil"/>
              <w:bottom w:val="single" w:sz="8" w:space="0" w:color="auto"/>
              <w:right w:val="single" w:sz="8" w:space="0" w:color="auto"/>
            </w:tcBorders>
            <w:vAlign w:val="center"/>
          </w:tcPr>
          <w:p>
            <w:pPr>
              <w:widowControl/>
              <w:adjustRightInd w:val="0"/>
              <w:snapToGrid w:val="0"/>
              <w:spacing w:line="560" w:lineRule="exact"/>
              <w:jc w:val="center"/>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5-10</w:t>
            </w:r>
          </w:p>
        </w:tc>
      </w:tr>
    </w:tbl>
    <w:p>
      <w:pPr>
        <w:spacing w:line="360" w:lineRule="auto"/>
        <w:ind w:firstLineChars="200" w:firstLine="640"/>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对于具有一定特殊性、复杂性的项目评估，取费标准在基准取费的基础上按1.1-1.3系数增加计取。</w:t>
      </w:r>
    </w:p>
    <w:p>
      <w:pPr>
        <w:spacing w:line="360" w:lineRule="auto"/>
        <w:ind w:firstLineChars="200" w:firstLine="640"/>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（2）评审的基准取费应按项目申报概算投资额分档计取，在相应的区间用插入法计算：</w:t>
      </w:r>
    </w:p>
    <w:p>
      <w:pPr>
        <w:spacing w:line="360" w:lineRule="auto"/>
        <w:ind w:firstLineChars="200" w:firstLine="640"/>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单位：万元</w:t>
      </w:r>
    </w:p>
    <w:tbl>
      <w:tblPr>
        <w:jc w:val="left"/>
        <w:tblInd w:w="98" w:type="dxa"/>
        <w:tblW w:w="853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2285"/>
        <w:gridCol w:w="2275"/>
        <w:gridCol w:w="2077"/>
        <w:gridCol w:w="1896"/>
      </w:tblGrid>
      <w:tr>
        <w:tc>
          <w:tcPr>
            <w:tcW w:w="22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pPr>
              <w:spacing w:line="360" w:lineRule="auto"/>
              <w:ind w:left="0"/>
              <w:jc w:val="center"/>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概算投资额</w:t>
            </w:r>
          </w:p>
        </w:tc>
        <w:tc>
          <w:tcPr>
            <w:tcW w:w="2275" w:type="dxa"/>
            <w:tcBorders>
              <w:top w:val="single" w:sz="8" w:space="0" w:color="auto"/>
              <w:left w:val="nil"/>
              <w:bottom w:val="single" w:sz="8" w:space="0" w:color="auto"/>
              <w:right w:val="single" w:sz="8" w:space="0" w:color="auto"/>
            </w:tcBorders>
            <w:tcMar>
              <w:left w:w="108" w:type="dxa"/>
              <w:right w:w="108" w:type="dxa"/>
            </w:tcMar>
            <w:vAlign w:val="center"/>
          </w:tcPr>
          <w:p>
            <w:pPr>
              <w:spacing w:line="360" w:lineRule="auto"/>
              <w:ind w:left="0" w:firstLineChars="100" w:firstLine="32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1500以下</w:t>
            </w:r>
          </w:p>
        </w:tc>
        <w:tc>
          <w:tcPr>
            <w:tcW w:w="2077" w:type="dxa"/>
            <w:tcBorders>
              <w:top w:val="single" w:sz="8" w:space="0" w:color="auto"/>
              <w:left w:val="nil"/>
              <w:bottom w:val="single" w:sz="8" w:space="0" w:color="auto"/>
              <w:right w:val="single" w:sz="8" w:space="0" w:color="auto"/>
            </w:tcBorders>
            <w:tcMar>
              <w:left w:w="108" w:type="dxa"/>
              <w:right w:w="108" w:type="dxa"/>
            </w:tcMar>
            <w:vAlign w:val="center"/>
          </w:tcPr>
          <w:p>
            <w:pPr>
              <w:spacing w:line="360" w:lineRule="auto"/>
              <w:ind w:firstLineChars="50" w:firstLine="16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1500-3000</w:t>
            </w:r>
          </w:p>
        </w:tc>
        <w:tc>
          <w:tcPr>
            <w:tcW w:w="1896" w:type="dxa"/>
            <w:tcBorders>
              <w:top w:val="single" w:sz="8" w:space="0" w:color="auto"/>
              <w:left w:val="nil"/>
              <w:bottom w:val="single" w:sz="8" w:space="0" w:color="auto"/>
              <w:right w:val="single" w:sz="8" w:space="0" w:color="auto"/>
            </w:tcBorders>
            <w:vAlign w:val="center"/>
          </w:tcPr>
          <w:p>
            <w:pPr>
              <w:spacing w:line="360" w:lineRule="auto"/>
              <w:ind w:firstLineChars="50" w:firstLine="16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3000-10000</w:t>
            </w:r>
          </w:p>
        </w:tc>
      </w:tr>
      <w:tr>
        <w:tc>
          <w:tcPr>
            <w:tcW w:w="2285" w:type="dxa"/>
            <w:tcBorders>
              <w:top w:val="nil"/>
              <w:left w:val="single" w:sz="8" w:space="0" w:color="auto"/>
              <w:bottom w:val="single" w:sz="8" w:space="0" w:color="auto"/>
              <w:right w:val="single" w:sz="8" w:space="0" w:color="auto"/>
            </w:tcBorders>
            <w:tcMar>
              <w:left w:w="108" w:type="dxa"/>
              <w:right w:w="108" w:type="dxa"/>
            </w:tcMar>
            <w:vAlign w:val="center"/>
          </w:tcPr>
          <w:p>
            <w:pPr>
              <w:spacing w:line="360" w:lineRule="auto"/>
              <w:ind w:left="0" w:firstLineChars="100" w:firstLine="32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初步设计</w:t>
            </w:r>
          </w:p>
          <w:p>
            <w:pPr>
              <w:spacing w:line="360" w:lineRule="auto"/>
              <w:ind w:left="0" w:firstLineChars="100" w:firstLine="32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评审取费</w:t>
            </w:r>
          </w:p>
        </w:tc>
        <w:tc>
          <w:tcPr>
            <w:tcW w:w="2275" w:type="dxa"/>
            <w:tcBorders>
              <w:top w:val="nil"/>
              <w:left w:val="nil"/>
              <w:bottom w:val="single" w:sz="8" w:space="0" w:color="auto"/>
              <w:right w:val="single" w:sz="8" w:space="0" w:color="auto"/>
            </w:tcBorders>
            <w:tcMar>
              <w:left w:w="108" w:type="dxa"/>
              <w:right w:w="108" w:type="dxa"/>
            </w:tcMar>
            <w:vAlign w:val="center"/>
          </w:tcPr>
          <w:p>
            <w:pPr>
              <w:spacing w:line="360" w:lineRule="auto"/>
              <w:ind w:left="0" w:firstLineChars="150" w:firstLine="48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3以下</w:t>
            </w:r>
          </w:p>
        </w:tc>
        <w:tc>
          <w:tcPr>
            <w:tcW w:w="2077" w:type="dxa"/>
            <w:tcBorders>
              <w:top w:val="nil"/>
              <w:left w:val="nil"/>
              <w:bottom w:val="single" w:sz="8" w:space="0" w:color="auto"/>
              <w:right w:val="single" w:sz="8" w:space="0" w:color="auto"/>
            </w:tcBorders>
            <w:tcMar>
              <w:left w:w="108" w:type="dxa"/>
              <w:right w:w="108" w:type="dxa"/>
            </w:tcMar>
            <w:vAlign w:val="center"/>
          </w:tcPr>
          <w:p>
            <w:pPr>
              <w:spacing w:line="360" w:lineRule="auto"/>
              <w:ind w:left="0" w:firstLineChars="200" w:firstLine="64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 xml:space="preserve">3-6 </w:t>
            </w:r>
          </w:p>
        </w:tc>
        <w:tc>
          <w:tcPr>
            <w:tcW w:w="1896" w:type="dxa"/>
            <w:tcBorders>
              <w:top w:val="nil"/>
              <w:left w:val="nil"/>
              <w:bottom w:val="single" w:sz="8" w:space="0" w:color="auto"/>
              <w:right w:val="single" w:sz="8" w:space="0" w:color="auto"/>
            </w:tcBorders>
            <w:vAlign w:val="center"/>
          </w:tcPr>
          <w:p>
            <w:pPr>
              <w:spacing w:line="360" w:lineRule="auto"/>
              <w:ind w:left="0" w:firstLineChars="200" w:firstLine="640"/>
              <w:jc w:val="both"/>
              <w:rPr>
                <w:rFonts w:ascii="仿宋_GB2312" w:eastAsia="仿宋_GB2312" w:cs="宋体" w:hint="eastAsia"/>
                <w:b/>
                <w:bCs/>
                <w:sz w:val="32"/>
                <w:szCs w:val="32"/>
                <w:bdr w:val="none" w:sz="0" w:space="0" w:color="auto"/>
              </w:rPr>
            </w:pPr>
            <w:r>
              <w:rPr>
                <w:rFonts w:ascii="仿宋_GB2312" w:eastAsia="仿宋_GB2312" w:cs="宋体" w:hint="eastAsia"/>
                <w:b/>
                <w:bCs/>
                <w:sz w:val="32"/>
                <w:szCs w:val="32"/>
                <w:bdr w:val="none" w:sz="0" w:space="0" w:color="auto"/>
              </w:rPr>
              <w:t>6-10</w:t>
            </w:r>
          </w:p>
        </w:tc>
      </w:tr>
    </w:tbl>
    <w:p>
      <w:pPr>
        <w:spacing w:line="360" w:lineRule="auto"/>
        <w:ind w:firstLineChars="200" w:firstLine="640"/>
        <w:rPr>
          <w:rFonts w:ascii="仿宋_GB2312" w:eastAsia="仿宋_GB2312" w:cs="宋体" w:hint="eastAsia"/>
          <w:b/>
          <w:sz w:val="32"/>
          <w:szCs w:val="32"/>
          <w:bdr w:val="none" w:sz="0" w:space="0" w:color="auto"/>
        </w:rPr>
      </w:pPr>
      <w:r>
        <w:rPr>
          <w:rFonts w:ascii="仿宋_GB2312" w:eastAsia="仿宋_GB2312" w:cs="宋体" w:hint="eastAsia"/>
          <w:b/>
          <w:bCs/>
          <w:sz w:val="32"/>
          <w:szCs w:val="32"/>
          <w:bdr w:val="none" w:sz="0" w:space="0" w:color="auto"/>
        </w:rPr>
        <w:t>在评审过程中,初步设计方案有重大调整需要重新评审，评审取费标准在基准取费的基础上按1.1-1.3系数增加计取。</w:t>
      </w:r>
    </w:p>
    <w:p>
      <w:pPr>
        <w:spacing w:line="360" w:lineRule="auto"/>
        <w:ind w:left="0"/>
        <w:rPr>
          <w:rFonts w:ascii="仿宋_GB2312" w:eastAsia="仿宋_GB2312" w:cs="宋体" w:hint="eastAsia"/>
          <w:b/>
          <w:sz w:val="32"/>
          <w:szCs w:val="32"/>
          <w:bdr w:val="none" w:sz="0" w:space="0" w:color="auto"/>
        </w:rPr>
      </w:pPr>
    </w:p>
    <w:sectPr>
      <w:footerReference w:type="default" r:id="rId2"/>
      <w:footnotePr/>
      <w:pgSz w:w="11906" w:h="16838"/>
      <w:pgMar w:top="1440" w:right="1800" w:bottom="1440" w:left="1800" w:header="851" w:footer="992" w:gutter="0"/>
      <w:docGrid w:type="lines" w:linePitch="326" w:charSpace="0"/>
    </w:sectPr>
  </w:body>
</w:document>
</file>

<file path=word/fontTable.xml><?xml version="1.0" encoding="utf-8"?>
<w:fonts xmlns:w="http://schemas.openxmlformats.org/wordprocessingml/2006/main" xmlns:r="http://schemas.openxmlformats.org/officeDocument/2006/relationships">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auto"/>
    <w:pitch w:val="variable"/>
    <w:sig w:usb0="00000001" w:usb1="080E0000" w:usb2="00000000" w:usb3="00000000" w:csb0="00040000" w:csb1="00000000"/>
  </w:font>
  <w:font w:name="楷体_GB2312">
    <w:panose1 w:val="02010609030101010101"/>
    <w:charset w:val="86"/>
    <w:family w:val="modern"/>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variable"/>
    <w:sig w:usb0="20002A87" w:usb1="80000000" w:usb2="00000008"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24"/>
      <w:tabs>
        <w:tab w:val="center" w:pos="4153"/>
        <w:tab w:val="right" w:pos="8306"/>
      </w:tabs>
      <w:jc w:val="center"/>
      <w:rPr>
        <w:sz w:val="32"/>
        <w:szCs w:val="32"/>
      </w:rPr>
    </w:pPr>
    <w:r>
      <w:rPr>
        <w:sz w:val="32"/>
        <w:szCs w:val="32"/>
      </w:rPr>
      <w:t>-</w:t>
    </w:r>
    <w:r>
      <w:rPr>
        <w:sz w:val="32"/>
        <w:szCs w:val="32"/>
      </w:rPr>
      <w:fldChar w:fldCharType="begin"/>
    </w:r>
    <w:r>
      <w:rPr>
        <w:sz w:val="32"/>
        <w:szCs w:val="32"/>
      </w:rPr>
      <w:instrText>PAGE   \* MERGEFORMAT</w:instrText>
    </w:r>
    <w:r>
      <w:rPr>
        <w:sz w:val="32"/>
        <w:szCs w:val="32"/>
      </w:rPr>
      <w:fldChar w:fldCharType="separate"/>
    </w:r>
    <w:r>
      <w:rPr>
        <w:sz w:val="32"/>
        <w:szCs w:val="32"/>
        <w:lang w:val="zh-CN"/>
      </w:rPr>
      <w:t>11</w:t>
    </w:r>
    <w:r>
      <w:rPr>
        <w:sz w:val="32"/>
        <w:szCs w:val="32"/>
      </w:rPr>
      <w:fldChar w:fldCharType="end"/>
    </w:r>
    <w:r>
      <w:rPr>
        <w:sz w:val="32"/>
        <w:szCs w:val="32"/>
      </w:rPr>
      <w:t>-</w:t>
    </w:r>
  </w:p>
  <w:p>
    <w:pPr>
      <w:pStyle w:val="24"/>
      <w:tabs>
        <w:tab w:val="center" w:pos="4153"/>
        <w:tab w:val="right" w:pos="8306"/>
      </w:tabs>
    </w:pPr>
  </w:p>
</w:ftr>
</file>

<file path=word/footnotes.xml><?xml version="1.0" encoding="utf-8"?>
<w:footnotes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http://schemas.openxmlformats.org/drawingml/2006/wordprocessingDrawing" xmlns:pic="http://schemas.openxmlformats.org/drawingml/2006/picture">
  <w:footnote w:type="separator" w:id="0">
    <w:p>
      <w:r>
        <w:separator/>
      </w:r>
    </w:p>
  </w:footnote>
  <w:footnote w:type="continuationSeparator" w:id="1">
    <w:p>
      <w:r>
        <w:continuationSeparator/>
      </w:r>
    </w:p>
  </w:footnote>
  <w:footnote w:id="2">
    <w:p>
      <w:pPr>
        <w:pStyle w:val="27"/>
        <w:rPr>
          <w:rFonts w:hint="eastAsia"/>
        </w:rPr>
      </w:pPr>
      <w:r>
        <w:rPr>
          <w:rStyle w:val="28"/>
        </w:rPr>
        <w:footnoteRef/>
      </w:r>
      <w:r>
        <w:t xml:space="preserve"> </w:t>
      </w:r>
      <w:r>
        <w:rPr>
          <w:rFonts w:hint="eastAsia"/>
        </w:rPr>
        <w:t>由国家发展改革委认定</w:t>
      </w:r>
    </w:p>
  </w:footnote>
</w:footnote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adjustRightInd w:val="0"/>
      <w:spacing w:line="360" w:lineRule="atLeast"/>
      <w:textAlignment w:val="baseline"/>
    </w:pPr>
    <w:rPr>
      <w:rFonts w:ascii="Times New Roman" w:eastAsia="宋体" w:cs="Times New Roman" w:hAnsi="Times New Roman"/>
      <w:kern w:val="0"/>
      <w:sz w:val="24"/>
      <w:szCs w:val="20"/>
      <w:lang w:val="en-US" w:eastAsia="zh-CN" w:bidi="ar-SA"/>
    </w:rPr>
  </w:style>
  <w:style w:type="paragraph" w:styleId="1">
    <w:name w:val="heading 1"/>
    <w:basedOn w:val="0"/>
    <w:next w:val="0"/>
    <w:pPr>
      <w:keepNext/>
      <w:keepLines/>
      <w:widowControl w:val="0"/>
      <w:spacing w:before="340" w:after="330" w:line="578" w:lineRule="atLeast"/>
      <w:outlineLvl w:val="0"/>
    </w:pPr>
    <w:rPr>
      <w:b/>
      <w:bCs/>
      <w:kern w:val="44"/>
      <w:sz w:val="44"/>
      <w:szCs w:val="44"/>
    </w:rPr>
  </w:style>
  <w:style w:type="paragraph" w:styleId="2">
    <w:name w:val="heading 2"/>
    <w:basedOn w:val="0"/>
    <w:next w:val="0"/>
    <w:pPr>
      <w:keepNext/>
      <w:keepLines/>
      <w:widowControl w:val="0"/>
      <w:spacing w:before="260" w:after="260" w:line="416" w:lineRule="atLeast"/>
      <w:outlineLvl w:val="1"/>
    </w:pPr>
    <w:rPr>
      <w:rFonts w:ascii="Cambria" w:eastAsia="宋体" w:cs="Times New Roman" w:hAnsi="Cambria"/>
      <w:b/>
      <w:bCs/>
      <w:sz w:val="32"/>
      <w:szCs w:val="32"/>
    </w:rPr>
  </w:style>
  <w:style w:type="paragraph" w:styleId="3">
    <w:name w:val="heading 3"/>
    <w:basedOn w:val="0"/>
    <w:next w:val="0"/>
    <w:pPr>
      <w:keepNext/>
      <w:keepLines/>
      <w:widowControl w:val="0"/>
      <w:spacing w:before="260" w:after="260" w:line="416" w:lineRule="atLeast"/>
      <w:outlineLvl w:val="2"/>
    </w:pPr>
    <w:rPr>
      <w:b/>
      <w:bCs/>
      <w:sz w:val="32"/>
      <w:szCs w:val="32"/>
    </w:rPr>
  </w:style>
  <w:style w:type="paragraph" w:styleId="4">
    <w:name w:val="heading 4"/>
    <w:basedOn w:val="0"/>
    <w:next w:val="0"/>
    <w:pPr>
      <w:keepNext/>
      <w:keepLines/>
      <w:widowControl w:val="0"/>
      <w:spacing w:before="280" w:after="290" w:line="376" w:lineRule="atLeast"/>
      <w:outlineLvl w:val="3"/>
    </w:pPr>
    <w:rPr>
      <w:rFonts w:ascii="Cambria" w:eastAsia="宋体" w:cs="Times New Roman" w:hAnsi="Cambria"/>
      <w:b/>
      <w:bCs/>
      <w:sz w:val="28"/>
      <w:szCs w:val="28"/>
    </w:rPr>
  </w:style>
  <w:style w:type="character" w:default="1" w:styleId="10">
    <w:name w:val="Default Paragraph Font"/>
  </w:style>
  <w:style w:type="paragraph" w:customStyle="1" w:styleId="15">
    <w:name w:val="样式 样式 样式 标题 2 + 宋体 五号 非加粗 黑色 + 段前: 6 磅 段后: 0 磅 行距: 单倍行距 + 段前: 12..."/>
    <w:basedOn w:val="0"/>
    <w:pPr>
      <w:keepNext/>
      <w:keepLines/>
      <w:widowControl w:val="0"/>
      <w:spacing w:before="240" w:line="240" w:lineRule="auto"/>
      <w:ind w:left="142"/>
      <w:outlineLvl w:val="1"/>
    </w:pPr>
    <w:rPr>
      <w:rFonts w:ascii="宋体" w:cs="宋体"/>
      <w:color w:val="000000"/>
      <w:sz w:val="21"/>
    </w:rPr>
  </w:style>
  <w:style w:type="paragraph" w:customStyle="1" w:styleId="16">
    <w:name w:val="List Paragraph"/>
    <w:basedOn w:val="0"/>
    <w:pPr>
      <w:ind w:firstLineChars="200" w:firstLine="200"/>
    </w:pPr>
  </w:style>
  <w:style w:type="paragraph" w:customStyle="1" w:styleId="17">
    <w:name w:val="样式1"/>
    <w:basedOn w:val="0"/>
    <w:pPr>
      <w:tabs>
        <w:tab w:val="left" w:pos="709"/>
        <w:tab w:val="left" w:pos="840"/>
      </w:tabs>
      <w:spacing w:line="240" w:lineRule="auto"/>
      <w:ind w:left="840" w:hanging="360"/>
      <w:jc w:val="both"/>
    </w:pPr>
    <w:rPr>
      <w:rFonts w:ascii="宋体"/>
      <w:sz w:val="21"/>
      <w:szCs w:val="21"/>
    </w:rPr>
  </w:style>
  <w:style w:type="paragraph" w:styleId="18">
    <w:name w:val="Plain Text"/>
    <w:basedOn w:val="0"/>
    <w:pPr>
      <w:adjustRightInd/>
      <w:spacing w:line="240" w:lineRule="auto"/>
      <w:jc w:val="both"/>
      <w:textAlignment w:val="auto"/>
    </w:pPr>
    <w:rPr>
      <w:rFonts w:ascii="宋体" w:cs="Arial"/>
      <w:kern w:val="2"/>
      <w:sz w:val="21"/>
      <w:szCs w:val="21"/>
    </w:rPr>
  </w:style>
  <w:style w:type="paragraph" w:customStyle="1" w:styleId="19">
    <w:name w:val="样式 标题 2 + 宋体 五号 非加粗 黑色"/>
    <w:basedOn w:val="2"/>
    <w:pPr>
      <w:ind w:left="142"/>
    </w:pPr>
    <w:rPr>
      <w:rFonts w:ascii="宋体" w:eastAsia="宋体" w:cs="Times New Roman"/>
      <w:b w:val="0"/>
      <w:bCs w:val="0"/>
      <w:color w:val="000000"/>
      <w:sz w:val="21"/>
    </w:rPr>
  </w:style>
  <w:style w:type="paragraph" w:customStyle="1" w:styleId="20">
    <w:name w:val="样式 标题 4 + 段前: 5 磅 段后: 5 磅 行距: 单倍行距"/>
    <w:basedOn w:val="4"/>
    <w:pPr>
      <w:spacing w:before="100" w:after="100" w:line="240" w:lineRule="auto"/>
    </w:pPr>
    <w:rPr>
      <w:rFonts w:ascii="Arial" w:eastAsia="黑体" w:cs="宋体" w:hAnsi="Arial"/>
      <w:szCs w:val="20"/>
    </w:rPr>
  </w:style>
  <w:style w:type="paragraph" w:customStyle="1" w:styleId="21">
    <w:name w:val="样式 标题 3h3H3sect1.2.3 + 五号 段前: 6 磅 段后: 6 磅 行距: 单倍行距"/>
    <w:basedOn w:val="3"/>
    <w:pPr>
      <w:spacing w:before="120" w:after="120" w:line="240" w:lineRule="auto"/>
    </w:pPr>
    <w:rPr>
      <w:rFonts w:cs="宋体"/>
      <w:sz w:val="21"/>
      <w:szCs w:val="20"/>
    </w:rPr>
  </w:style>
  <w:style w:type="character" w:customStyle="1" w:styleId="22">
    <w:name w:val="纯文本 Char"/>
    <w:basedOn w:val="10"/>
    <w:rPr>
      <w:rFonts w:ascii="宋体" w:eastAsia="宋体" w:cs="Courier New"/>
      <w:kern w:val="0"/>
      <w:szCs w:val="21"/>
    </w:rPr>
  </w:style>
  <w:style w:type="paragraph" w:styleId="23">
    <w:name w:val="header"/>
    <w:basedOn w:val="0"/>
    <w:pPr>
      <w:pBdr>
        <w:bottom w:val="single" w:sz="6" w:space="1" w:color="auto"/>
      </w:pBdr>
      <w:tabs>
        <w:tab w:val="center" w:pos="4153"/>
        <w:tab w:val="right" w:pos="8306"/>
      </w:tabs>
      <w:adjustRightInd w:val="0"/>
      <w:snapToGrid w:val="0"/>
      <w:spacing w:line="240" w:lineRule="atLeast"/>
      <w:jc w:val="center"/>
    </w:pPr>
    <w:rPr>
      <w:sz w:val="18"/>
      <w:szCs w:val="18"/>
    </w:rPr>
  </w:style>
  <w:style w:type="paragraph" w:styleId="24">
    <w:name w:val="footer"/>
    <w:basedOn w:val="0"/>
    <w:pPr>
      <w:tabs>
        <w:tab w:val="center" w:pos="4153"/>
        <w:tab w:val="right" w:pos="8306"/>
      </w:tabs>
      <w:adjustRightInd w:val="0"/>
      <w:snapToGrid w:val="0"/>
      <w:spacing w:line="240" w:lineRule="atLeast"/>
    </w:pPr>
    <w:rPr>
      <w:sz w:val="18"/>
      <w:szCs w:val="18"/>
    </w:rPr>
  </w:style>
  <w:style w:type="paragraph" w:customStyle="1" w:styleId="25">
    <w:name w:val="样式 标题 1 + 四号 居中 段前: 12 磅 段后: 12 磅 行距: 单倍行距"/>
    <w:basedOn w:val="1"/>
    <w:pPr>
      <w:spacing w:before="240" w:after="240" w:line="240" w:lineRule="auto"/>
      <w:ind w:firstLine="288"/>
      <w:jc w:val="center"/>
    </w:pPr>
    <w:rPr>
      <w:rFonts w:cs="宋体"/>
      <w:sz w:val="28"/>
      <w:szCs w:val="20"/>
    </w:rPr>
  </w:style>
  <w:style w:type="paragraph" w:styleId="26">
    <w:name w:val="Balloon Text"/>
    <w:basedOn w:val="0"/>
    <w:pPr>
      <w:spacing w:line="240" w:lineRule="auto"/>
    </w:pPr>
    <w:rPr>
      <w:sz w:val="18"/>
      <w:szCs w:val="18"/>
    </w:rPr>
  </w:style>
  <w:style w:type="paragraph" w:styleId="27">
    <w:name w:val="footnote text"/>
    <w:basedOn w:val="0"/>
    <w:pPr>
      <w:adjustRightInd w:val="0"/>
      <w:snapToGrid w:val="0"/>
    </w:pPr>
    <w:rPr>
      <w:sz w:val="18"/>
      <w:szCs w:val="18"/>
    </w:rPr>
  </w:style>
  <w:style w:type="character" w:styleId="28">
    <w:name w:val="footnote reference"/>
    <w:basedOn w:val="10"/>
    <w:rPr>
      <w:vertAlign w:val="superscript"/>
    </w:rPr>
  </w:style>
  <w:style w:type="paragraph" w:customStyle="1" w:styleId="29">
    <w:name w:val="Revision"/>
    <w:rPr>
      <w:rFonts w:ascii="Times New Roman" w:eastAsia="宋体" w:cs="Times New Roman" w:hAnsi="Times New Roman"/>
      <w:kern w:val="0"/>
      <w:sz w:val="24"/>
      <w:szCs w:val="20"/>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2446</TotalTime>
  <Application>Yozo_Office</Application>
  <Pages>10</Pages>
  <Words>3728</Words>
  <Characters>3843</Characters>
  <Lines>211</Lines>
  <Paragraphs>99</Paragraphs>
  <CharactersWithSpaces>3857</CharactersWithSpaces>
  <Company>Lenovo (Beijing) Limited</Company>
</Properties>
</file>

<file path=docProps/core.xml><?xml version="1.0" encoding="utf-8"?>
<cp:coreProperties xmlns:cp="http://schemas.openxmlformats.org/package/2006/metadata/core-properties" xmlns:dc="http://purl.org/dc/elements/1.1/" xmlns:dcterms="http://purl.org/dc/terms/" xmlns:xsi="http://www.w3.org/2001/XMLSchema-instance">
  <dc:creator>Lenovo User</dc:creator>
  <cp:lastModifiedBy>my</cp:lastModifiedBy>
  <cp:revision>9</cp:revision>
  <cp:lastPrinted>2016-05-27T03:10:46Z</cp:lastPrinted>
  <dcterms:created xsi:type="dcterms:W3CDTF">2015-05-25T00:17:00Z</dcterms:created>
  <dcterms:modified xsi:type="dcterms:W3CDTF">2016-05-27T03:13:32Z</dcterms:modified>
</cp:coreProperties>
</file>