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1B" w:rsidRDefault="00F74A25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F74A25">
        <w:rPr>
          <w:rFonts w:ascii="仿宋_GB2312" w:eastAsia="仿宋_GB2312" w:hAnsi="Times New Roman" w:cs="Times New Roman" w:hint="eastAsia"/>
          <w:sz w:val="30"/>
          <w:szCs w:val="30"/>
        </w:rPr>
        <w:t>中标标的内容：</w:t>
      </w:r>
    </w:p>
    <w:tbl>
      <w:tblPr>
        <w:tblpPr w:leftFromText="180" w:rightFromText="180" w:vertAnchor="text" w:horzAnchor="margin" w:tblpXSpec="center" w:tblpY="45"/>
        <w:tblW w:w="8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17"/>
        <w:gridCol w:w="2693"/>
        <w:gridCol w:w="851"/>
        <w:gridCol w:w="3720"/>
      </w:tblGrid>
      <w:tr w:rsidR="003E128E" w:rsidTr="003E128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黑体" w:eastAsia="黑体" w:hAnsi="Calibri" w:cs="Times New Roman"/>
                <w:b/>
                <w:bCs/>
                <w:sz w:val="24"/>
              </w:rPr>
            </w:pPr>
            <w:r>
              <w:rPr>
                <w:rFonts w:ascii="黑体" w:eastAsia="黑体" w:hAnsi="Calibri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黑体" w:eastAsia="黑体" w:hAnsi="Calibri" w:cs="Times New Roman"/>
                <w:b/>
                <w:bCs/>
                <w:sz w:val="24"/>
              </w:rPr>
            </w:pPr>
            <w:r>
              <w:rPr>
                <w:rFonts w:ascii="黑体" w:eastAsia="黑体" w:hAnsi="Calibri" w:cs="Times New Roman" w:hint="eastAsia"/>
                <w:b/>
                <w:bCs/>
                <w:sz w:val="24"/>
              </w:rPr>
              <w:t>名  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黑体" w:eastAsia="黑体" w:hAnsi="Calibri" w:cs="Times New Roman"/>
                <w:b/>
                <w:bCs/>
                <w:sz w:val="24"/>
              </w:rPr>
            </w:pPr>
            <w:r>
              <w:rPr>
                <w:rFonts w:ascii="黑体" w:eastAsia="黑体" w:hAnsi="Calibri" w:cs="Times New Roman" w:hint="eastAsia"/>
                <w:b/>
                <w:bCs/>
                <w:sz w:val="24"/>
              </w:rPr>
              <w:t>数量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黑体" w:eastAsia="黑体" w:hAnsi="Calibri" w:cs="Times New Roman"/>
                <w:b/>
                <w:bCs/>
                <w:sz w:val="24"/>
              </w:rPr>
            </w:pPr>
            <w:r>
              <w:rPr>
                <w:rFonts w:ascii="黑体" w:eastAsia="黑体" w:hAnsi="Calibri" w:cs="Times New Roman" w:hint="eastAsia"/>
                <w:b/>
                <w:bCs/>
                <w:sz w:val="24"/>
              </w:rPr>
              <w:t>所投产品品牌及型号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PXI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控制器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ART PXI7685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PXI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机箱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ART PXIC-7310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PXI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数字化仪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ART PXI8530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PXI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万用表卡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ART PXI7062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szCs w:val="21"/>
              </w:rPr>
              <w:t>PXI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信号发生器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ART PXI9100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高频电流探头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深圳知用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CP8030H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柔性探头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深圳知用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CP9060S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近场探头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深圳知用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EM5030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高性能射频源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2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普源精电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DSG815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高性能频谱分析仪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四十一所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AV4037C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Calibri" w:cs="Times New Roman" w:hint="eastAsia"/>
                <w:szCs w:val="21"/>
              </w:rPr>
              <w:t>高精度台式万用表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2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普源精电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DM3068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4E3F95">
              <w:rPr>
                <w:rFonts w:ascii="Calibri" w:eastAsia="宋体" w:hAnsi="宋体" w:cs="Times New Roman" w:hint="eastAsia"/>
                <w:szCs w:val="21"/>
              </w:rPr>
              <w:t>高性能任意波形发生器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E3F95">
              <w:rPr>
                <w:rFonts w:ascii="Calibri" w:eastAsia="宋体" w:hAnsi="Calibri" w:cs="Times New Roman"/>
                <w:szCs w:val="21"/>
              </w:rPr>
              <w:t>1</w:t>
            </w:r>
            <w:r w:rsidRPr="004E3F95"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Pr="004E3F95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 w:rsidRPr="004E3F95">
              <w:rPr>
                <w:rFonts w:ascii="Calibri" w:eastAsia="宋体" w:hAnsi="Calibri" w:cs="Times New Roman" w:hint="eastAsia"/>
                <w:bCs/>
                <w:sz w:val="24"/>
              </w:rPr>
              <w:t>普源精电</w:t>
            </w:r>
            <w:r w:rsidRPr="004E3F95">
              <w:rPr>
                <w:rFonts w:ascii="Calibri" w:eastAsia="宋体" w:hAnsi="Calibri" w:cs="Times New Roman"/>
                <w:bCs/>
                <w:sz w:val="24"/>
              </w:rPr>
              <w:t>DG5352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旁路攻击安全性分析仪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SIC-ANZ-1000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智能卡测试板卡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SIC-ANZ-SA</w:t>
            </w: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KURA</w:t>
            </w: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-W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FPGA/ASIC</w:t>
            </w:r>
            <w:r>
              <w:rPr>
                <w:rFonts w:ascii="Calibri" w:eastAsia="宋体" w:hAnsi="Calibri" w:cs="Times New Roman" w:hint="eastAsia"/>
                <w:szCs w:val="21"/>
              </w:rPr>
              <w:t>测试板卡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SIC-ANZ-SAKURA-G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高性能电磁探头</w:t>
            </w:r>
            <w:r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SIC-ANZ-RF2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高性能电磁探头</w:t>
            </w:r>
            <w:r>
              <w:rPr>
                <w:rFonts w:ascii="Calibri" w:eastAsia="宋体" w:hAnsi="Calibri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SIC-ANZ-RF3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探头定位仪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SIC-ANZ-AFx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前端电磁信号放大器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SIC-ANZ-PA303BNC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信号自动定位控制装置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SIC-ANZ-TXYZ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触发模块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SIC-ANZ-SmT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激光攻击台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/>
                <w:kern w:val="0"/>
                <w:sz w:val="19"/>
                <w:szCs w:val="19"/>
              </w:rPr>
              <w:t>SIC-ANZ-Laz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RF</w:t>
            </w:r>
            <w:r>
              <w:rPr>
                <w:rFonts w:ascii="Calibri" w:eastAsia="宋体" w:hAnsi="Calibri" w:cs="Times New Roman" w:hint="eastAsia"/>
                <w:szCs w:val="21"/>
              </w:rPr>
              <w:t>信号发生器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SIC-ANZ-SiG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EM</w:t>
            </w:r>
            <w:r>
              <w:rPr>
                <w:rFonts w:ascii="Calibri" w:eastAsia="宋体" w:hAnsi="Calibri" w:cs="Times New Roman" w:hint="eastAsia"/>
                <w:szCs w:val="21"/>
              </w:rPr>
              <w:t>故障注入功率放大器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SIC-ANZ-RFA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高端电磁故障注入信号探头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SIC-ANZ-HiPr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自动控制台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SIC-ANZ-XYZ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电压毛刺故障注入系统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ArialMT" w:eastAsia="宋体" w:hAnsi="ArialMT" w:cs="ArialMT" w:hint="eastAsia"/>
                <w:kern w:val="0"/>
                <w:sz w:val="19"/>
                <w:szCs w:val="19"/>
              </w:rPr>
              <w:t>SIC-ANZ-PoGS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28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电压时钟毛刺产生器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SIC-ANZ-PoGH</w:t>
            </w:r>
          </w:p>
        </w:tc>
      </w:tr>
      <w:tr w:rsidR="003E128E" w:rsidTr="003E128E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128E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29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宋体" w:cs="Times New Roman" w:hint="eastAsia"/>
                <w:szCs w:val="21"/>
              </w:rPr>
              <w:t>毛刺故障注入应用系统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套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28E" w:rsidRDefault="003E128E" w:rsidP="002B1B90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Cs/>
                <w:sz w:val="24"/>
              </w:rPr>
              <w:t>SIC-ANZ-ClGH</w:t>
            </w:r>
          </w:p>
        </w:tc>
      </w:tr>
    </w:tbl>
    <w:p w:rsidR="003E128E" w:rsidRDefault="003E128E" w:rsidP="0090021C">
      <w:pPr>
        <w:rPr>
          <w:rFonts w:ascii="宋体" w:hAnsi="宋体" w:hint="eastAsia"/>
          <w:b/>
          <w:bCs/>
          <w:szCs w:val="21"/>
        </w:rPr>
      </w:pPr>
    </w:p>
    <w:p w:rsidR="00F2405F" w:rsidRDefault="00F74A25" w:rsidP="0090021C">
      <w:pPr>
        <w:rPr>
          <w:rFonts w:hint="eastAsia"/>
          <w:szCs w:val="32"/>
        </w:rPr>
      </w:pPr>
      <w:r w:rsidRPr="00F74A25">
        <w:rPr>
          <w:rFonts w:ascii="仿宋_GB2312" w:eastAsia="仿宋_GB2312" w:hAnsi="Times New Roman" w:cs="Times New Roman" w:hint="eastAsia"/>
          <w:sz w:val="30"/>
          <w:szCs w:val="30"/>
        </w:rPr>
        <w:t>售后服务承诺：</w:t>
      </w:r>
      <w:r w:rsidR="0090021C" w:rsidRPr="004D347C">
        <w:rPr>
          <w:szCs w:val="32"/>
        </w:rPr>
        <w:t xml:space="preserve"> </w:t>
      </w:r>
    </w:p>
    <w:p w:rsidR="00FA0017" w:rsidRPr="00FA0017" w:rsidRDefault="00FA0017" w:rsidP="00FA0017">
      <w:pPr>
        <w:rPr>
          <w:rFonts w:hint="eastAsia"/>
          <w:b/>
          <w:sz w:val="28"/>
          <w:szCs w:val="28"/>
        </w:rPr>
      </w:pPr>
      <w:r w:rsidRPr="00FA0017">
        <w:rPr>
          <w:rFonts w:hint="eastAsia"/>
          <w:b/>
          <w:sz w:val="28"/>
          <w:szCs w:val="28"/>
        </w:rPr>
        <w:t>售后服务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硬件设备质保期十年，质保期内免费保修、软件升级，并提供技术支持与维护，并提供</w:t>
      </w:r>
      <w:r w:rsidRPr="00FA0017">
        <w:rPr>
          <w:rFonts w:hint="eastAsia"/>
          <w:sz w:val="28"/>
          <w:szCs w:val="28"/>
        </w:rPr>
        <w:t>6</w:t>
      </w:r>
      <w:r w:rsidRPr="00FA0017">
        <w:rPr>
          <w:rFonts w:hint="eastAsia"/>
          <w:sz w:val="28"/>
          <w:szCs w:val="28"/>
        </w:rPr>
        <w:t>×</w:t>
      </w:r>
      <w:r w:rsidRPr="00FA0017">
        <w:rPr>
          <w:rFonts w:hint="eastAsia"/>
          <w:sz w:val="28"/>
          <w:szCs w:val="28"/>
        </w:rPr>
        <w:t>8</w:t>
      </w:r>
      <w:r w:rsidRPr="00FA0017">
        <w:rPr>
          <w:rFonts w:hint="eastAsia"/>
          <w:sz w:val="28"/>
          <w:szCs w:val="28"/>
        </w:rPr>
        <w:t>小时服务，解决问题时间不超过</w:t>
      </w:r>
      <w:r w:rsidRPr="00FA0017">
        <w:rPr>
          <w:rFonts w:hint="eastAsia"/>
          <w:sz w:val="28"/>
          <w:szCs w:val="28"/>
        </w:rPr>
        <w:t>1</w:t>
      </w:r>
      <w:r w:rsidRPr="00FA0017">
        <w:rPr>
          <w:rFonts w:hint="eastAsia"/>
          <w:sz w:val="28"/>
          <w:szCs w:val="28"/>
        </w:rPr>
        <w:t>个工作日。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每月定期</w:t>
      </w:r>
      <w:r w:rsidRPr="00FA0017">
        <w:rPr>
          <w:rFonts w:hint="eastAsia"/>
          <w:sz w:val="28"/>
          <w:szCs w:val="28"/>
        </w:rPr>
        <w:t>2</w:t>
      </w:r>
      <w:r w:rsidRPr="00FA0017">
        <w:rPr>
          <w:rFonts w:hint="eastAsia"/>
          <w:sz w:val="28"/>
          <w:szCs w:val="28"/>
        </w:rPr>
        <w:t>次电话回访服务</w:t>
      </w:r>
    </w:p>
    <w:p w:rsidR="00FA0017" w:rsidRPr="00FA0017" w:rsidRDefault="00FA0017" w:rsidP="00FA0017">
      <w:pPr>
        <w:rPr>
          <w:rFonts w:hint="eastAsia"/>
          <w:b/>
          <w:sz w:val="28"/>
          <w:szCs w:val="28"/>
        </w:rPr>
      </w:pPr>
      <w:r w:rsidRPr="00FA0017">
        <w:rPr>
          <w:rFonts w:hint="eastAsia"/>
          <w:b/>
          <w:sz w:val="28"/>
          <w:szCs w:val="28"/>
        </w:rPr>
        <w:t>技术培训要求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培训内容与课程要求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1</w:t>
      </w:r>
      <w:r w:rsidRPr="00FA0017">
        <w:rPr>
          <w:rFonts w:hint="eastAsia"/>
          <w:sz w:val="28"/>
          <w:szCs w:val="28"/>
        </w:rPr>
        <w:t>）所购买设备、软件的性能、安装、配置、使用、常见故障排除的培训，系统环境的配置、维护以及扩展技术等内容。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2</w:t>
      </w:r>
      <w:r w:rsidRPr="00FA0017">
        <w:rPr>
          <w:rFonts w:hint="eastAsia"/>
          <w:sz w:val="28"/>
          <w:szCs w:val="28"/>
        </w:rPr>
        <w:t>）本次招标所有设备的应用培训。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3</w:t>
      </w:r>
      <w:r w:rsidRPr="00FA0017">
        <w:rPr>
          <w:rFonts w:hint="eastAsia"/>
          <w:sz w:val="28"/>
          <w:szCs w:val="28"/>
        </w:rPr>
        <w:t>）免费提供说明及案例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4</w:t>
      </w:r>
      <w:r w:rsidRPr="00FA0017">
        <w:rPr>
          <w:rFonts w:hint="eastAsia"/>
          <w:sz w:val="28"/>
          <w:szCs w:val="28"/>
        </w:rPr>
        <w:t>）定期提供国内外设备最新发展现状讲座及测量方法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5</w:t>
      </w:r>
      <w:r w:rsidRPr="00FA0017">
        <w:rPr>
          <w:rFonts w:hint="eastAsia"/>
          <w:sz w:val="28"/>
          <w:szCs w:val="28"/>
        </w:rPr>
        <w:t>）配合学校开发新的教学和实验项目。</w:t>
      </w:r>
    </w:p>
    <w:p w:rsidR="00FA0017" w:rsidRPr="00FA0017" w:rsidRDefault="00FA0017" w:rsidP="00FA0017">
      <w:pPr>
        <w:rPr>
          <w:rFonts w:hint="eastAsia"/>
          <w:b/>
          <w:sz w:val="28"/>
          <w:szCs w:val="28"/>
        </w:rPr>
      </w:pPr>
      <w:r w:rsidRPr="00FA0017">
        <w:rPr>
          <w:rFonts w:hint="eastAsia"/>
          <w:b/>
          <w:sz w:val="28"/>
          <w:szCs w:val="28"/>
        </w:rPr>
        <w:t>培训要求</w:t>
      </w:r>
    </w:p>
    <w:p w:rsidR="00FA0017" w:rsidRPr="00FA0017" w:rsidRDefault="00FA0017" w:rsidP="00FA0017">
      <w:pPr>
        <w:rPr>
          <w:rFonts w:hint="eastAsia"/>
          <w:sz w:val="28"/>
          <w:szCs w:val="28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1</w:t>
      </w:r>
      <w:r w:rsidRPr="00FA0017">
        <w:rPr>
          <w:rFonts w:hint="eastAsia"/>
          <w:sz w:val="28"/>
          <w:szCs w:val="28"/>
        </w:rPr>
        <w:t>）不少于</w:t>
      </w:r>
      <w:r w:rsidRPr="00FA0017">
        <w:rPr>
          <w:rFonts w:hint="eastAsia"/>
          <w:sz w:val="28"/>
          <w:szCs w:val="28"/>
        </w:rPr>
        <w:t>30</w:t>
      </w:r>
      <w:r w:rsidRPr="00FA0017">
        <w:rPr>
          <w:rFonts w:hint="eastAsia"/>
          <w:sz w:val="28"/>
          <w:szCs w:val="28"/>
        </w:rPr>
        <w:t>人</w:t>
      </w:r>
      <w:r w:rsidRPr="00FA0017">
        <w:rPr>
          <w:rFonts w:hint="eastAsia"/>
          <w:sz w:val="28"/>
          <w:szCs w:val="28"/>
        </w:rPr>
        <w:t>15</w:t>
      </w:r>
      <w:r w:rsidRPr="00FA0017">
        <w:rPr>
          <w:rFonts w:hint="eastAsia"/>
          <w:sz w:val="28"/>
          <w:szCs w:val="28"/>
        </w:rPr>
        <w:t>天的原厂技术人员培训。</w:t>
      </w:r>
    </w:p>
    <w:p w:rsidR="00FA0017" w:rsidRPr="004D347C" w:rsidRDefault="00FA0017" w:rsidP="00FA0017">
      <w:pPr>
        <w:rPr>
          <w:szCs w:val="32"/>
        </w:rPr>
      </w:pPr>
      <w:r w:rsidRPr="00FA0017">
        <w:rPr>
          <w:rFonts w:hint="eastAsia"/>
          <w:sz w:val="28"/>
          <w:szCs w:val="28"/>
        </w:rPr>
        <w:t>（</w:t>
      </w:r>
      <w:r w:rsidRPr="00FA0017">
        <w:rPr>
          <w:rFonts w:hint="eastAsia"/>
          <w:sz w:val="28"/>
          <w:szCs w:val="28"/>
        </w:rPr>
        <w:t>2</w:t>
      </w:r>
      <w:r w:rsidRPr="00FA0017">
        <w:rPr>
          <w:rFonts w:hint="eastAsia"/>
          <w:sz w:val="28"/>
          <w:szCs w:val="28"/>
        </w:rPr>
        <w:t>）提供后续系统升级支持、服务及培训。</w:t>
      </w:r>
    </w:p>
    <w:sectPr w:rsidR="00FA0017" w:rsidRPr="004D347C" w:rsidSect="003A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9C" w:rsidRDefault="00502B9C" w:rsidP="00F74A25">
      <w:r>
        <w:separator/>
      </w:r>
    </w:p>
  </w:endnote>
  <w:endnote w:type="continuationSeparator" w:id="1">
    <w:p w:rsidR="00502B9C" w:rsidRDefault="00502B9C" w:rsidP="00F74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韵动中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博雅宋_GBK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9C" w:rsidRDefault="00502B9C" w:rsidP="00F74A25">
      <w:r>
        <w:separator/>
      </w:r>
    </w:p>
  </w:footnote>
  <w:footnote w:type="continuationSeparator" w:id="1">
    <w:p w:rsidR="00502B9C" w:rsidRDefault="00502B9C" w:rsidP="00F74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DEA"/>
    <w:multiLevelType w:val="hybridMultilevel"/>
    <w:tmpl w:val="0624E1F8"/>
    <w:lvl w:ilvl="0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2D2359F3"/>
    <w:multiLevelType w:val="hybridMultilevel"/>
    <w:tmpl w:val="F00447E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EDA7CAA"/>
    <w:multiLevelType w:val="multilevel"/>
    <w:tmpl w:val="62EA255C"/>
    <w:lvl w:ilvl="0">
      <w:start w:val="1"/>
      <w:numFmt w:val="decimal"/>
      <w:pStyle w:val="1"/>
      <w:lvlText w:val="第%1章"/>
      <w:lvlJc w:val="center"/>
      <w:pPr>
        <w:tabs>
          <w:tab w:val="num" w:pos="2949"/>
        </w:tabs>
        <w:ind w:left="2949" w:hanging="113"/>
      </w:pPr>
      <w:rPr>
        <w:rFonts w:ascii="方正韵动中黑简体" w:eastAsia="方正韵动中黑简体" w:hAnsi="Arial" w:hint="eastAsia"/>
        <w:b/>
        <w:i w:val="0"/>
        <w:sz w:val="44"/>
        <w:szCs w:val="44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ascii="方正韵动中黑简体" w:eastAsia="方正韵动中黑简体" w:hAnsi="Arial" w:hint="eastAsia"/>
        <w:b/>
        <w:i w:val="0"/>
        <w:sz w:val="32"/>
        <w:szCs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1929"/>
        </w:tabs>
        <w:ind w:left="1929" w:hanging="794"/>
      </w:pPr>
      <w:rPr>
        <w:rFonts w:ascii="方正韵动中黑简体" w:eastAsia="方正韵动中黑简体" w:hAnsi="Arial" w:hint="eastAsia"/>
        <w:b w:val="0"/>
        <w:i w:val="0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964"/>
        </w:tabs>
        <w:ind w:left="964" w:hanging="964"/>
      </w:pPr>
      <w:rPr>
        <w:rFonts w:ascii="方正韵动中黑简体" w:eastAsia="方正韵动中黑简体" w:hAnsi="Arial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32"/>
        </w:tabs>
        <w:ind w:left="223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3240"/>
      </w:pPr>
      <w:rPr>
        <w:rFonts w:hint="default"/>
      </w:rPr>
    </w:lvl>
  </w:abstractNum>
  <w:abstractNum w:abstractNumId="3">
    <w:nsid w:val="7469360A"/>
    <w:multiLevelType w:val="hybridMultilevel"/>
    <w:tmpl w:val="92B0E0D8"/>
    <w:lvl w:ilvl="0" w:tplc="00000011">
      <w:start w:val="1"/>
      <w:numFmt w:val="decimal"/>
      <w:lvlText w:val="(%1)"/>
      <w:lvlJc w:val="left"/>
      <w:pPr>
        <w:ind w:left="980" w:hanging="420"/>
      </w:pPr>
      <w:rPr>
        <w:rFonts w:ascii="Times New Roman" w:hAnsi="Times New Roman" w:hint="default"/>
        <w:b w:val="0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A25"/>
    <w:rsid w:val="0007415E"/>
    <w:rsid w:val="000C4D82"/>
    <w:rsid w:val="00162D10"/>
    <w:rsid w:val="00165B02"/>
    <w:rsid w:val="001D725B"/>
    <w:rsid w:val="00224E33"/>
    <w:rsid w:val="00225E75"/>
    <w:rsid w:val="00260166"/>
    <w:rsid w:val="00355626"/>
    <w:rsid w:val="00365826"/>
    <w:rsid w:val="00376C37"/>
    <w:rsid w:val="003A261B"/>
    <w:rsid w:val="003E128E"/>
    <w:rsid w:val="004168AD"/>
    <w:rsid w:val="00425E0F"/>
    <w:rsid w:val="00444422"/>
    <w:rsid w:val="00502B9C"/>
    <w:rsid w:val="005777AE"/>
    <w:rsid w:val="005F6A07"/>
    <w:rsid w:val="00611191"/>
    <w:rsid w:val="00634DF2"/>
    <w:rsid w:val="0068625A"/>
    <w:rsid w:val="00700C92"/>
    <w:rsid w:val="007F6441"/>
    <w:rsid w:val="00853460"/>
    <w:rsid w:val="0087119F"/>
    <w:rsid w:val="008F4114"/>
    <w:rsid w:val="008F69FA"/>
    <w:rsid w:val="0090021C"/>
    <w:rsid w:val="00973911"/>
    <w:rsid w:val="009A0E21"/>
    <w:rsid w:val="009B30B5"/>
    <w:rsid w:val="00A043B4"/>
    <w:rsid w:val="00A741FF"/>
    <w:rsid w:val="00AC6618"/>
    <w:rsid w:val="00AD1782"/>
    <w:rsid w:val="00B05F8C"/>
    <w:rsid w:val="00C62E1E"/>
    <w:rsid w:val="00C67E50"/>
    <w:rsid w:val="00C91216"/>
    <w:rsid w:val="00CD22F0"/>
    <w:rsid w:val="00D567F9"/>
    <w:rsid w:val="00D86782"/>
    <w:rsid w:val="00E255EB"/>
    <w:rsid w:val="00F04AE6"/>
    <w:rsid w:val="00F2405F"/>
    <w:rsid w:val="00F4063A"/>
    <w:rsid w:val="00F74A25"/>
    <w:rsid w:val="00FA0017"/>
    <w:rsid w:val="00FA1C15"/>
    <w:rsid w:val="00FB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1B"/>
    <w:pPr>
      <w:widowControl w:val="0"/>
      <w:jc w:val="both"/>
    </w:pPr>
  </w:style>
  <w:style w:type="paragraph" w:styleId="1">
    <w:name w:val="heading 1"/>
    <w:aliases w:val="my1,Heading 0,H1,Header1,h1,Heading 1 App,1,Header 1,Section Head,1st level,l1,H11,H12,H13,H14,H15,H16,H17,&amp;3,List level 1,H111,H112,PIM 1,Level 1 Topic Heading,I1,Chapter title,l1+toc 1,Level 1,Level 11,Title1,L1,1.0,Heading No. L1,H1-Heading 1,1."/>
    <w:basedOn w:val="a0"/>
    <w:next w:val="a"/>
    <w:link w:val="1Char"/>
    <w:qFormat/>
    <w:rsid w:val="005F6A07"/>
    <w:pPr>
      <w:keepNext/>
      <w:keepLines/>
      <w:numPr>
        <w:numId w:val="2"/>
      </w:numPr>
      <w:spacing w:before="340" w:after="330" w:line="578" w:lineRule="auto"/>
    </w:pPr>
    <w:rPr>
      <w:rFonts w:ascii="方正韵动中黑简体" w:eastAsia="方正韵动中黑简体" w:hAnsi="Arial" w:cs="Arial"/>
      <w:b w:val="0"/>
      <w:bCs w:val="0"/>
      <w:kern w:val="44"/>
      <w:sz w:val="44"/>
      <w:szCs w:val="44"/>
    </w:rPr>
  </w:style>
  <w:style w:type="paragraph" w:styleId="2">
    <w:name w:val="heading 2"/>
    <w:aliases w:val="第一章 标题 2,PIM2,Titre3,HD2,sect 1.2,sect 1.21,sect 1.22,sect 1.211,sect 1.23,sect 1.212,DO,sect 3.1,Underrubrik1,prop2,Heading2,No Number,A,o,H2-Heading 2,Header 2,l2,Header2,22,标题 2my2,节,Title2,2nd level,Titre2,Head 2,PA Major Section,Level 2 Head,I"/>
    <w:basedOn w:val="a0"/>
    <w:next w:val="a"/>
    <w:link w:val="2Char"/>
    <w:qFormat/>
    <w:rsid w:val="005F6A07"/>
    <w:pPr>
      <w:keepNext/>
      <w:keepLines/>
      <w:numPr>
        <w:ilvl w:val="1"/>
        <w:numId w:val="2"/>
      </w:numPr>
      <w:spacing w:before="260" w:after="260" w:line="416" w:lineRule="auto"/>
      <w:jc w:val="left"/>
      <w:outlineLvl w:val="1"/>
    </w:pPr>
    <w:rPr>
      <w:rFonts w:ascii="方正韵动中黑简体" w:eastAsia="方正韵动中黑简体" w:hAnsi="Arial" w:cs="Arial"/>
      <w:b w:val="0"/>
      <w:bCs w:val="0"/>
    </w:rPr>
  </w:style>
  <w:style w:type="paragraph" w:styleId="3">
    <w:name w:val="heading 3"/>
    <w:aliases w:val="标题 3 Char1 Char,标题 3 Char Char Char,标题 3 Char Char Char Char Char Char Char Char,Title3 Char Char Char,Map Char Char Char,H31 Char Char Char,Level 3 Topic Heading Char Char Char,heading 3 + Indent: Left 0.25 in Char Char Char,Map Char,H3,h3"/>
    <w:basedOn w:val="a0"/>
    <w:next w:val="a"/>
    <w:link w:val="3Char1"/>
    <w:qFormat/>
    <w:rsid w:val="005F6A07"/>
    <w:pPr>
      <w:keepNext/>
      <w:keepLines/>
      <w:numPr>
        <w:ilvl w:val="2"/>
        <w:numId w:val="2"/>
      </w:numPr>
      <w:spacing w:before="260" w:after="260" w:line="415" w:lineRule="auto"/>
      <w:jc w:val="both"/>
      <w:outlineLvl w:val="2"/>
    </w:pPr>
    <w:rPr>
      <w:rFonts w:ascii="Arial" w:eastAsia="方正韵动中黑简体" w:hAnsi="Arial" w:cs="Arial"/>
      <w:b w:val="0"/>
      <w:bCs w:val="0"/>
      <w:sz w:val="28"/>
    </w:rPr>
  </w:style>
  <w:style w:type="paragraph" w:styleId="4">
    <w:name w:val="heading 4"/>
    <w:aliases w:val="l4,heading 41,heading 42,heading 411,heading 43,heading 412,heading 421,h4111,Level 2 - a,(一),1.1,1。1,Table and Figures,sect 1.2.3.41,Ref Heading 11,rh11,sect 1.2.3.42,rh12,rh111,段,H4 Char,Ref Heading 1 Char,rh1 Char,Heading sql Char,h4 Char,4 Char"/>
    <w:basedOn w:val="a0"/>
    <w:next w:val="a"/>
    <w:link w:val="4Char"/>
    <w:qFormat/>
    <w:rsid w:val="005F6A07"/>
    <w:pPr>
      <w:keepNext/>
      <w:keepLines/>
      <w:numPr>
        <w:ilvl w:val="3"/>
        <w:numId w:val="2"/>
      </w:numPr>
      <w:spacing w:before="280" w:after="290" w:line="376" w:lineRule="auto"/>
      <w:jc w:val="both"/>
      <w:outlineLvl w:val="3"/>
    </w:pPr>
    <w:rPr>
      <w:rFonts w:ascii="Arial" w:eastAsia="方正韵动中黑简体" w:hAnsi="Arial" w:cs="Arial"/>
      <w:b w:val="0"/>
      <w:bCs w:val="0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74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74A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4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74A25"/>
    <w:rPr>
      <w:sz w:val="18"/>
      <w:szCs w:val="18"/>
    </w:rPr>
  </w:style>
  <w:style w:type="paragraph" w:styleId="a6">
    <w:name w:val="Body Text"/>
    <w:aliases w:val="EHPT,Body Text2,Body Text(ch),鋘drad,paragraph 2,paragraph 21,居中,Bodytext,AvtalBrödtext,ändrad,AvtalBrodtext,andrad, ändrad,正文文字 Char1,Body Text(ch) Char,body text Char,bt Char, ändrad Char,?y????×?,????,NICMAN Body Text,?y????,?y?????,特殊文字,ÌØÊâÎÄ×Ö"/>
    <w:basedOn w:val="a"/>
    <w:link w:val="Char1"/>
    <w:rsid w:val="00162D10"/>
    <w:pPr>
      <w:spacing w:before="60" w:after="60"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customStyle="1" w:styleId="Char1">
    <w:name w:val="正文文本 Char"/>
    <w:aliases w:val="EHPT Char,Body Text2 Char,Body Text(ch) Char1,鋘drad Char,paragraph 2 Char,paragraph 21 Char,居中 Char,Bodytext Char,AvtalBrödtext Char,ändrad Char,AvtalBrodtext Char,andrad Char, ändrad Char1,正文文字 Char1 Char,Body Text(ch) Char Char,bt Char Char"/>
    <w:basedOn w:val="a1"/>
    <w:link w:val="a6"/>
    <w:rsid w:val="00162D10"/>
    <w:rPr>
      <w:rFonts w:ascii="Calibri" w:eastAsia="宋体" w:hAnsi="Calibri" w:cs="Times New Roman"/>
      <w:sz w:val="24"/>
    </w:rPr>
  </w:style>
  <w:style w:type="character" w:customStyle="1" w:styleId="1Char">
    <w:name w:val="标题 1 Char"/>
    <w:aliases w:val="my1 Char,Heading 0 Char,H1 Char,Header1 Char,h1 Char,Heading 1 App Char,1 Char,Header 1 Char,Section Head Char,1st level Char,l1 Char,H11 Char,H12 Char,H13 Char,H14 Char,H15 Char,H16 Char,H17 Char,&amp;3 Char,List level 1 Char,H111 Char,H112 Char"/>
    <w:basedOn w:val="a1"/>
    <w:link w:val="1"/>
    <w:rsid w:val="005F6A07"/>
    <w:rPr>
      <w:rFonts w:ascii="方正韵动中黑简体" w:eastAsia="方正韵动中黑简体" w:hAnsi="Arial" w:cs="Arial"/>
      <w:kern w:val="44"/>
      <w:sz w:val="44"/>
      <w:szCs w:val="44"/>
    </w:rPr>
  </w:style>
  <w:style w:type="character" w:customStyle="1" w:styleId="2Char">
    <w:name w:val="标题 2 Char"/>
    <w:aliases w:val="第一章 标题 2 Char,PIM2 Char,Titre3 Char,HD2 Char,sect 1.2 Char,sect 1.21 Char,sect 1.22 Char,sect 1.211 Char,sect 1.23 Char,sect 1.212 Char,DO Char,sect 3.1 Char,Underrubrik1 Char,prop2 Char,Heading2 Char,No Number Char,A Char,o Char,Header 2 Char"/>
    <w:basedOn w:val="a1"/>
    <w:link w:val="2"/>
    <w:rsid w:val="005F6A07"/>
    <w:rPr>
      <w:rFonts w:ascii="方正韵动中黑简体" w:eastAsia="方正韵动中黑简体" w:hAnsi="Arial" w:cs="Arial"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rsid w:val="005F6A07"/>
    <w:rPr>
      <w:b/>
      <w:bCs/>
      <w:sz w:val="32"/>
      <w:szCs w:val="32"/>
    </w:rPr>
  </w:style>
  <w:style w:type="character" w:customStyle="1" w:styleId="4Char">
    <w:name w:val="标题 4 Char"/>
    <w:aliases w:val="l4 Char,heading 41 Char,heading 42 Char,heading 411 Char,heading 43 Char,heading 412 Char,heading 421 Char,h4111 Char,Level 2 - a Char,(一) Char,1.1 Char,1。1 Char,Table and Figures Char,sect 1.2.3.41 Char,Ref Heading 11 Char,rh11 Char,rh12 Char"/>
    <w:basedOn w:val="a1"/>
    <w:link w:val="4"/>
    <w:rsid w:val="005F6A07"/>
    <w:rPr>
      <w:rFonts w:ascii="Arial" w:eastAsia="方正韵动中黑简体" w:hAnsi="Arial" w:cs="Arial"/>
      <w:sz w:val="24"/>
      <w:szCs w:val="28"/>
    </w:rPr>
  </w:style>
  <w:style w:type="character" w:customStyle="1" w:styleId="3Char1">
    <w:name w:val="标题 3 Char1"/>
    <w:aliases w:val="标题 3 Char1 Char Char,标题 3 Char Char Char Char,标题 3 Char Char Char Char Char Char Char Char Char,Title3 Char Char Char Char,Map Char Char Char Char,H31 Char Char Char Char,Level 3 Topic Heading Char Char Char Char,Map Char Char,H3 Char,h3 Char"/>
    <w:link w:val="3"/>
    <w:rsid w:val="005F6A07"/>
    <w:rPr>
      <w:rFonts w:ascii="Arial" w:eastAsia="方正韵动中黑简体" w:hAnsi="Arial" w:cs="Arial"/>
      <w:sz w:val="28"/>
      <w:szCs w:val="32"/>
    </w:rPr>
  </w:style>
  <w:style w:type="paragraph" w:customStyle="1" w:styleId="a7">
    <w:name w:val="标书正文"/>
    <w:basedOn w:val="a"/>
    <w:link w:val="Char2"/>
    <w:qFormat/>
    <w:rsid w:val="005F6A07"/>
    <w:pPr>
      <w:widowControl/>
      <w:adjustRightInd w:val="0"/>
      <w:snapToGrid w:val="0"/>
      <w:spacing w:line="360" w:lineRule="auto"/>
      <w:ind w:firstLineChars="177" w:firstLine="425"/>
      <w:jc w:val="left"/>
    </w:pPr>
    <w:rPr>
      <w:rFonts w:ascii="Times" w:eastAsia="方正博雅宋_GBK" w:hAnsi="Times" w:cs="宋体"/>
      <w:sz w:val="24"/>
      <w:szCs w:val="20"/>
    </w:rPr>
  </w:style>
  <w:style w:type="character" w:customStyle="1" w:styleId="Char2">
    <w:name w:val="标书正文 Char"/>
    <w:link w:val="a7"/>
    <w:rsid w:val="005F6A07"/>
    <w:rPr>
      <w:rFonts w:ascii="Times" w:eastAsia="方正博雅宋_GBK" w:hAnsi="Times" w:cs="宋体"/>
      <w:sz w:val="24"/>
      <w:szCs w:val="20"/>
    </w:rPr>
  </w:style>
  <w:style w:type="paragraph" w:styleId="a0">
    <w:name w:val="Title"/>
    <w:basedOn w:val="a"/>
    <w:next w:val="a"/>
    <w:link w:val="Char3"/>
    <w:uiPriority w:val="10"/>
    <w:qFormat/>
    <w:rsid w:val="005F6A0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1"/>
    <w:link w:val="a0"/>
    <w:uiPriority w:val="10"/>
    <w:rsid w:val="005F6A0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rsid w:val="00C67E50"/>
  </w:style>
  <w:style w:type="paragraph" w:styleId="a8">
    <w:name w:val="Balloon Text"/>
    <w:basedOn w:val="a"/>
    <w:link w:val="Char4"/>
    <w:uiPriority w:val="99"/>
    <w:semiHidden/>
    <w:unhideWhenUsed/>
    <w:rsid w:val="00376C37"/>
    <w:rPr>
      <w:sz w:val="18"/>
      <w:szCs w:val="18"/>
    </w:rPr>
  </w:style>
  <w:style w:type="character" w:customStyle="1" w:styleId="Char4">
    <w:name w:val="批注框文本 Char"/>
    <w:basedOn w:val="a1"/>
    <w:link w:val="a8"/>
    <w:uiPriority w:val="99"/>
    <w:semiHidden/>
    <w:rsid w:val="00376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xuezongwei</cp:lastModifiedBy>
  <cp:revision>40</cp:revision>
  <dcterms:created xsi:type="dcterms:W3CDTF">2015-09-08T07:48:00Z</dcterms:created>
  <dcterms:modified xsi:type="dcterms:W3CDTF">2016-06-20T06:11:00Z</dcterms:modified>
</cp:coreProperties>
</file>