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1B" w:rsidRDefault="00F74A25">
      <w:pPr>
        <w:rPr>
          <w:rFonts w:ascii="仿宋_GB2312" w:eastAsia="仿宋_GB2312" w:hAnsi="Times New Roman" w:cs="Times New Roman"/>
          <w:sz w:val="30"/>
          <w:szCs w:val="30"/>
        </w:rPr>
      </w:pPr>
      <w:r w:rsidRPr="00F74A25">
        <w:rPr>
          <w:rFonts w:ascii="仿宋_GB2312" w:eastAsia="仿宋_GB2312" w:hAnsi="Times New Roman" w:cs="Times New Roman" w:hint="eastAsia"/>
          <w:sz w:val="30"/>
          <w:szCs w:val="30"/>
        </w:rPr>
        <w:t>中标标的内容：</w:t>
      </w:r>
    </w:p>
    <w:tbl>
      <w:tblPr>
        <w:tblW w:w="4929" w:type="pct"/>
        <w:jc w:val="center"/>
        <w:tblInd w:w="-1191" w:type="dxa"/>
        <w:tblLook w:val="04A0"/>
      </w:tblPr>
      <w:tblGrid>
        <w:gridCol w:w="1172"/>
        <w:gridCol w:w="1969"/>
        <w:gridCol w:w="518"/>
        <w:gridCol w:w="642"/>
        <w:gridCol w:w="4100"/>
      </w:tblGrid>
      <w:tr w:rsidR="00C91216" w:rsidRPr="00576C66" w:rsidTr="00C91216">
        <w:trPr>
          <w:trHeight w:val="285"/>
          <w:jc w:val="center"/>
        </w:trPr>
        <w:tc>
          <w:tcPr>
            <w:tcW w:w="698"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黑体" w:eastAsia="黑体" w:hAnsi="黑体" w:cs="宋体"/>
                <w:b/>
                <w:bCs/>
                <w:color w:val="000000"/>
                <w:kern w:val="0"/>
                <w:sz w:val="24"/>
              </w:rPr>
            </w:pPr>
            <w:r w:rsidRPr="00576C66">
              <w:rPr>
                <w:rFonts w:ascii="黑体" w:eastAsia="黑体" w:hAnsi="黑体" w:cs="宋体" w:hint="eastAsia"/>
                <w:b/>
                <w:bCs/>
                <w:color w:val="000000"/>
                <w:kern w:val="0"/>
                <w:sz w:val="24"/>
              </w:rPr>
              <w:t>序号</w:t>
            </w:r>
          </w:p>
        </w:tc>
        <w:tc>
          <w:tcPr>
            <w:tcW w:w="1172" w:type="pct"/>
            <w:tcBorders>
              <w:top w:val="single" w:sz="8" w:space="0" w:color="auto"/>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黑体" w:eastAsia="黑体" w:hAnsi="黑体" w:cs="宋体"/>
                <w:b/>
                <w:bCs/>
                <w:color w:val="000000"/>
                <w:kern w:val="0"/>
                <w:sz w:val="24"/>
              </w:rPr>
            </w:pPr>
            <w:r w:rsidRPr="00576C66">
              <w:rPr>
                <w:rFonts w:ascii="黑体" w:eastAsia="黑体" w:hAnsi="黑体" w:cs="宋体" w:hint="eastAsia"/>
                <w:b/>
                <w:bCs/>
                <w:color w:val="000000"/>
                <w:kern w:val="0"/>
                <w:sz w:val="24"/>
              </w:rPr>
              <w:t>名  称</w:t>
            </w:r>
          </w:p>
        </w:tc>
        <w:tc>
          <w:tcPr>
            <w:tcW w:w="308" w:type="pct"/>
            <w:tcBorders>
              <w:top w:val="single" w:sz="8" w:space="0" w:color="auto"/>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黑体" w:eastAsia="黑体" w:hAnsi="黑体" w:cs="宋体"/>
                <w:b/>
                <w:bCs/>
                <w:color w:val="000000"/>
                <w:kern w:val="0"/>
                <w:sz w:val="24"/>
              </w:rPr>
            </w:pPr>
            <w:r w:rsidRPr="00576C66">
              <w:rPr>
                <w:rFonts w:ascii="黑体" w:eastAsia="黑体" w:hAnsi="黑体" w:cs="宋体" w:hint="eastAsia"/>
                <w:b/>
                <w:bCs/>
                <w:color w:val="000000"/>
                <w:kern w:val="0"/>
                <w:sz w:val="24"/>
              </w:rPr>
              <w:t>数量</w:t>
            </w:r>
          </w:p>
        </w:tc>
        <w:tc>
          <w:tcPr>
            <w:tcW w:w="382" w:type="pct"/>
            <w:tcBorders>
              <w:top w:val="single" w:sz="8" w:space="0" w:color="auto"/>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黑体" w:eastAsia="黑体" w:hAnsi="黑体" w:cs="宋体"/>
                <w:b/>
                <w:bCs/>
                <w:color w:val="000000"/>
                <w:kern w:val="0"/>
                <w:sz w:val="24"/>
              </w:rPr>
            </w:pPr>
            <w:r w:rsidRPr="00576C66">
              <w:rPr>
                <w:rFonts w:ascii="黑体" w:eastAsia="黑体" w:hAnsi="黑体" w:cs="宋体" w:hint="eastAsia"/>
                <w:b/>
                <w:bCs/>
                <w:color w:val="000000"/>
                <w:kern w:val="0"/>
                <w:sz w:val="24"/>
              </w:rPr>
              <w:t>单位</w:t>
            </w:r>
          </w:p>
        </w:tc>
        <w:tc>
          <w:tcPr>
            <w:tcW w:w="2440" w:type="pct"/>
            <w:tcBorders>
              <w:top w:val="single" w:sz="8" w:space="0" w:color="auto"/>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黑体" w:eastAsia="黑体" w:hAnsi="黑体" w:cs="宋体"/>
                <w:b/>
                <w:bCs/>
                <w:color w:val="000000"/>
                <w:kern w:val="0"/>
                <w:sz w:val="24"/>
              </w:rPr>
            </w:pPr>
            <w:r w:rsidRPr="00576C66">
              <w:rPr>
                <w:rFonts w:ascii="黑体" w:eastAsia="黑体" w:hAnsi="黑体" w:cs="宋体" w:hint="eastAsia"/>
                <w:b/>
                <w:bCs/>
                <w:color w:val="000000"/>
                <w:kern w:val="0"/>
                <w:sz w:val="24"/>
              </w:rPr>
              <w:t>所投产</w:t>
            </w:r>
            <w:proofErr w:type="gramStart"/>
            <w:r w:rsidRPr="00576C66">
              <w:rPr>
                <w:rFonts w:ascii="黑体" w:eastAsia="黑体" w:hAnsi="黑体" w:cs="宋体" w:hint="eastAsia"/>
                <w:b/>
                <w:bCs/>
                <w:color w:val="000000"/>
                <w:kern w:val="0"/>
                <w:sz w:val="24"/>
              </w:rPr>
              <w:t>品品牌</w:t>
            </w:r>
            <w:proofErr w:type="gramEnd"/>
            <w:r w:rsidRPr="00576C66">
              <w:rPr>
                <w:rFonts w:ascii="黑体" w:eastAsia="黑体" w:hAnsi="黑体" w:cs="宋体" w:hint="eastAsia"/>
                <w:b/>
                <w:bCs/>
                <w:color w:val="000000"/>
                <w:kern w:val="0"/>
                <w:sz w:val="24"/>
              </w:rPr>
              <w:t>及型号</w:t>
            </w:r>
          </w:p>
        </w:tc>
      </w:tr>
      <w:tr w:rsidR="00C91216" w:rsidRPr="00576C66" w:rsidTr="00C91216">
        <w:trPr>
          <w:trHeight w:val="27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A01-01</w:t>
            </w: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四路服务器</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40</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台</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浪潮</w:t>
            </w:r>
            <w:r w:rsidRPr="00576C66">
              <w:rPr>
                <w:rFonts w:ascii="Calibri" w:hAnsi="Calibri" w:cs="Calibri"/>
                <w:color w:val="000000"/>
                <w:kern w:val="0"/>
                <w:sz w:val="20"/>
                <w:szCs w:val="20"/>
              </w:rPr>
              <w:t>NF8480M4</w:t>
            </w:r>
          </w:p>
        </w:tc>
      </w:tr>
      <w:tr w:rsidR="00C91216" w:rsidRPr="00576C66" w:rsidTr="00C91216">
        <w:trPr>
          <w:trHeight w:val="27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A01-02</w:t>
            </w: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二路服务器</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20</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台</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浪潮</w:t>
            </w:r>
            <w:r w:rsidRPr="00576C66">
              <w:rPr>
                <w:rFonts w:ascii="Calibri" w:hAnsi="Calibri" w:cs="Calibri"/>
                <w:color w:val="000000"/>
                <w:kern w:val="0"/>
                <w:sz w:val="20"/>
                <w:szCs w:val="20"/>
              </w:rPr>
              <w:t>NF5270M4</w:t>
            </w:r>
          </w:p>
        </w:tc>
      </w:tr>
      <w:tr w:rsidR="00C91216" w:rsidRPr="00576C66" w:rsidTr="00C91216">
        <w:trPr>
          <w:trHeight w:val="27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A01-03</w:t>
            </w: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光纤交换机</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8</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台</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 xml:space="preserve"> </w:t>
            </w:r>
            <w:proofErr w:type="gramStart"/>
            <w:r w:rsidRPr="00576C66">
              <w:rPr>
                <w:rFonts w:ascii="宋体" w:hAnsi="宋体" w:cs="宋体" w:hint="eastAsia"/>
                <w:color w:val="000000"/>
                <w:kern w:val="0"/>
                <w:sz w:val="20"/>
                <w:szCs w:val="20"/>
              </w:rPr>
              <w:t>宏杉</w:t>
            </w:r>
            <w:proofErr w:type="gramEnd"/>
            <w:r w:rsidRPr="00576C66">
              <w:rPr>
                <w:rFonts w:ascii="Calibri" w:hAnsi="Calibri" w:cs="Calibri"/>
                <w:color w:val="000000"/>
                <w:kern w:val="0"/>
                <w:sz w:val="20"/>
                <w:szCs w:val="20"/>
              </w:rPr>
              <w:t>FS6505</w:t>
            </w:r>
          </w:p>
        </w:tc>
      </w:tr>
      <w:tr w:rsidR="00C91216" w:rsidRPr="00576C66" w:rsidTr="00C91216">
        <w:trPr>
          <w:trHeight w:val="27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A01-04</w:t>
            </w: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万兆交换机</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6</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台</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锐捷</w:t>
            </w:r>
            <w:r w:rsidRPr="00576C66">
              <w:rPr>
                <w:rFonts w:ascii="Calibri" w:hAnsi="Calibri" w:cs="Calibri"/>
                <w:color w:val="000000"/>
                <w:kern w:val="0"/>
                <w:sz w:val="20"/>
                <w:szCs w:val="20"/>
              </w:rPr>
              <w:t>RG-S6220-48XS4QXS</w:t>
            </w:r>
          </w:p>
        </w:tc>
      </w:tr>
      <w:tr w:rsidR="00C91216" w:rsidRPr="00576C66" w:rsidTr="00C91216">
        <w:trPr>
          <w:trHeight w:val="27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A01-05</w:t>
            </w: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千兆交换机</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4</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台</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锐捷</w:t>
            </w:r>
            <w:r w:rsidRPr="00576C66">
              <w:rPr>
                <w:rFonts w:ascii="Calibri" w:hAnsi="Calibri" w:cs="Calibri"/>
                <w:color w:val="000000"/>
                <w:kern w:val="0"/>
                <w:sz w:val="20"/>
                <w:szCs w:val="20"/>
              </w:rPr>
              <w:t>RG-S5750C-48GT4XS-H</w:t>
            </w:r>
          </w:p>
        </w:tc>
      </w:tr>
      <w:tr w:rsidR="00C91216" w:rsidRPr="00576C66" w:rsidTr="00C91216">
        <w:trPr>
          <w:trHeight w:val="27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A01-06</w:t>
            </w: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核心交换机</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2</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台</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锐捷</w:t>
            </w:r>
            <w:r w:rsidRPr="00576C66">
              <w:rPr>
                <w:rFonts w:ascii="Calibri" w:hAnsi="Calibri" w:cs="Calibri"/>
                <w:color w:val="000000"/>
                <w:kern w:val="0"/>
                <w:sz w:val="20"/>
                <w:szCs w:val="20"/>
              </w:rPr>
              <w:t>RG-S8610E</w:t>
            </w:r>
          </w:p>
        </w:tc>
      </w:tr>
      <w:tr w:rsidR="00C91216" w:rsidRPr="00576C66" w:rsidTr="00C91216">
        <w:trPr>
          <w:trHeight w:val="48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bookmarkStart w:id="0" w:name="RANGE!A8"/>
            <w:r w:rsidRPr="00576C66">
              <w:rPr>
                <w:rFonts w:ascii="宋体" w:hAnsi="宋体" w:cs="宋体" w:hint="eastAsia"/>
                <w:color w:val="000000"/>
                <w:kern w:val="0"/>
                <w:sz w:val="20"/>
                <w:szCs w:val="20"/>
              </w:rPr>
              <w:t>A01-07</w:t>
            </w:r>
            <w:bookmarkEnd w:id="0"/>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核心扩展卡（万兆）</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3</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套</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锐捷</w:t>
            </w:r>
            <w:r w:rsidRPr="00576C66">
              <w:rPr>
                <w:rFonts w:ascii="Calibri" w:hAnsi="Calibri" w:cs="Calibri"/>
                <w:color w:val="000000"/>
                <w:kern w:val="0"/>
                <w:sz w:val="20"/>
                <w:szCs w:val="20"/>
              </w:rPr>
              <w:t>M8600E-08XS-ED</w:t>
            </w:r>
          </w:p>
        </w:tc>
      </w:tr>
      <w:tr w:rsidR="00C91216" w:rsidRPr="00576C66" w:rsidTr="00C91216">
        <w:trPr>
          <w:trHeight w:val="48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A01-08</w:t>
            </w: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核心扩展卡（光电复用）</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3</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套</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锐捷</w:t>
            </w:r>
            <w:r w:rsidRPr="00576C66">
              <w:rPr>
                <w:rFonts w:ascii="Calibri" w:hAnsi="Calibri" w:cs="Calibri"/>
                <w:color w:val="000000"/>
                <w:kern w:val="0"/>
                <w:sz w:val="20"/>
                <w:szCs w:val="20"/>
              </w:rPr>
              <w:t>M8600E-24GT/8SFP-EB</w:t>
            </w:r>
          </w:p>
        </w:tc>
      </w:tr>
      <w:tr w:rsidR="00C91216" w:rsidRPr="00576C66" w:rsidTr="00C91216">
        <w:trPr>
          <w:trHeight w:val="27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bookmarkStart w:id="1" w:name="RANGE!A10"/>
            <w:r w:rsidRPr="00576C66">
              <w:rPr>
                <w:rFonts w:ascii="宋体" w:hAnsi="宋体" w:cs="宋体" w:hint="eastAsia"/>
                <w:color w:val="000000"/>
                <w:kern w:val="0"/>
                <w:sz w:val="20"/>
                <w:szCs w:val="20"/>
              </w:rPr>
              <w:t>A01-09</w:t>
            </w:r>
            <w:bookmarkEnd w:id="1"/>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虚拟化软件</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120</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套</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浪潮</w:t>
            </w:r>
            <w:r w:rsidRPr="00576C66">
              <w:rPr>
                <w:rFonts w:ascii="Calibri" w:hAnsi="Calibri" w:cs="Calibri"/>
                <w:color w:val="000000"/>
                <w:kern w:val="0"/>
                <w:sz w:val="20"/>
                <w:szCs w:val="20"/>
              </w:rPr>
              <w:t xml:space="preserve"> VMware </w:t>
            </w:r>
            <w:r w:rsidRPr="00576C66">
              <w:rPr>
                <w:rFonts w:ascii="宋体" w:hAnsi="宋体" w:cs="宋体" w:hint="eastAsia"/>
                <w:color w:val="000000"/>
                <w:kern w:val="0"/>
                <w:sz w:val="20"/>
                <w:szCs w:val="20"/>
              </w:rPr>
              <w:t>标准版</w:t>
            </w:r>
            <w:r w:rsidRPr="00576C66">
              <w:rPr>
                <w:rFonts w:ascii="Calibri" w:hAnsi="Calibri" w:cs="Calibri"/>
                <w:color w:val="000000"/>
                <w:kern w:val="0"/>
                <w:sz w:val="20"/>
                <w:szCs w:val="20"/>
              </w:rPr>
              <w:t>6.0</w:t>
            </w:r>
          </w:p>
        </w:tc>
      </w:tr>
      <w:tr w:rsidR="00C91216" w:rsidRPr="00576C66" w:rsidTr="00C91216">
        <w:trPr>
          <w:trHeight w:val="27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A01-10</w:t>
            </w: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负载均衡</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4</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台</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深信服应用交付设备</w:t>
            </w:r>
            <w:r w:rsidRPr="00576C66">
              <w:rPr>
                <w:rFonts w:ascii="Calibri" w:hAnsi="Calibri" w:cs="Calibri"/>
                <w:color w:val="000000"/>
                <w:kern w:val="0"/>
                <w:sz w:val="20"/>
                <w:szCs w:val="20"/>
              </w:rPr>
              <w:t>AD-6000-HQ</w:t>
            </w:r>
          </w:p>
        </w:tc>
      </w:tr>
      <w:tr w:rsidR="00C91216" w:rsidRPr="00576C66" w:rsidTr="00C91216">
        <w:trPr>
          <w:trHeight w:val="27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A01-11</w:t>
            </w: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VPN设备</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2</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bookmarkStart w:id="2" w:name="RANGE!D12"/>
            <w:r w:rsidRPr="00576C66">
              <w:rPr>
                <w:rFonts w:ascii="宋体" w:hAnsi="宋体" w:cs="宋体" w:hint="eastAsia"/>
                <w:color w:val="000000"/>
                <w:kern w:val="0"/>
                <w:sz w:val="20"/>
                <w:szCs w:val="20"/>
              </w:rPr>
              <w:t>台</w:t>
            </w:r>
            <w:bookmarkEnd w:id="2"/>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深信服VPN-3050-HQ</w:t>
            </w:r>
          </w:p>
        </w:tc>
      </w:tr>
      <w:tr w:rsidR="00C91216" w:rsidRPr="00576C66" w:rsidTr="00C91216">
        <w:trPr>
          <w:trHeight w:val="48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A01-12</w:t>
            </w: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发布系统1</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1</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套</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“TRS 内容协作平台”软件（TRS WCMV7.0）</w:t>
            </w:r>
          </w:p>
        </w:tc>
      </w:tr>
      <w:tr w:rsidR="00C91216" w:rsidRPr="00576C66" w:rsidTr="00C91216">
        <w:trPr>
          <w:trHeight w:val="96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A01-13</w:t>
            </w: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数据库1</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1</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套</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 xml:space="preserve">ORACLE DATABASE Enterprise Edition，ORACLE DATABASE RAC，ORACLE </w:t>
            </w:r>
            <w:proofErr w:type="spellStart"/>
            <w:r w:rsidRPr="00576C66">
              <w:rPr>
                <w:rFonts w:ascii="宋体" w:hAnsi="宋体" w:cs="宋体" w:hint="eastAsia"/>
                <w:color w:val="000000"/>
                <w:kern w:val="0"/>
                <w:sz w:val="20"/>
                <w:szCs w:val="20"/>
              </w:rPr>
              <w:t>GoldenGate</w:t>
            </w:r>
            <w:proofErr w:type="spellEnd"/>
            <w:r w:rsidRPr="00576C66">
              <w:rPr>
                <w:rFonts w:ascii="宋体" w:hAnsi="宋体" w:cs="宋体" w:hint="eastAsia"/>
                <w:color w:val="000000"/>
                <w:kern w:val="0"/>
                <w:sz w:val="20"/>
                <w:szCs w:val="20"/>
              </w:rPr>
              <w:t>（版本12C，2CPU）</w:t>
            </w:r>
          </w:p>
        </w:tc>
      </w:tr>
      <w:tr w:rsidR="00C91216" w:rsidRPr="00576C66" w:rsidTr="00C91216">
        <w:trPr>
          <w:trHeight w:val="27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A01-14</w:t>
            </w: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数据库2</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1</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套</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微软SQL SERVER 2012企业版</w:t>
            </w:r>
          </w:p>
        </w:tc>
      </w:tr>
      <w:tr w:rsidR="00C91216" w:rsidRPr="00576C66" w:rsidTr="00C91216">
        <w:trPr>
          <w:trHeight w:val="270"/>
          <w:jc w:val="center"/>
        </w:trPr>
        <w:tc>
          <w:tcPr>
            <w:tcW w:w="698" w:type="pct"/>
            <w:vMerge w:val="restar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A01-15</w:t>
            </w: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SAN存储系统</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8</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套</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proofErr w:type="gramStart"/>
            <w:r w:rsidRPr="00576C66">
              <w:rPr>
                <w:rFonts w:ascii="宋体" w:hAnsi="宋体" w:cs="宋体" w:hint="eastAsia"/>
                <w:color w:val="000000"/>
                <w:kern w:val="0"/>
                <w:sz w:val="20"/>
                <w:szCs w:val="20"/>
              </w:rPr>
              <w:t>宏杉</w:t>
            </w:r>
            <w:proofErr w:type="gramEnd"/>
            <w:r w:rsidRPr="00576C66">
              <w:rPr>
                <w:rFonts w:ascii="宋体" w:hAnsi="宋体" w:cs="宋体" w:hint="eastAsia"/>
                <w:color w:val="000000"/>
                <w:kern w:val="0"/>
                <w:sz w:val="20"/>
                <w:szCs w:val="20"/>
              </w:rPr>
              <w:t>MS3300</w:t>
            </w:r>
          </w:p>
        </w:tc>
      </w:tr>
      <w:tr w:rsidR="00C91216" w:rsidRPr="00576C66" w:rsidTr="00C91216">
        <w:trPr>
          <w:trHeight w:val="270"/>
          <w:jc w:val="center"/>
        </w:trPr>
        <w:tc>
          <w:tcPr>
            <w:tcW w:w="698" w:type="pct"/>
            <w:vMerge/>
            <w:tcBorders>
              <w:top w:val="nil"/>
              <w:left w:val="single" w:sz="8" w:space="0" w:color="auto"/>
              <w:bottom w:val="single" w:sz="4" w:space="0" w:color="auto"/>
              <w:right w:val="single" w:sz="4" w:space="0" w:color="auto"/>
            </w:tcBorders>
            <w:vAlign w:val="center"/>
            <w:hideMark/>
          </w:tcPr>
          <w:p w:rsidR="00C91216" w:rsidRPr="00576C66" w:rsidRDefault="00C91216" w:rsidP="00BC62AD">
            <w:pPr>
              <w:widowControl/>
              <w:jc w:val="left"/>
              <w:rPr>
                <w:rFonts w:ascii="宋体" w:hAnsi="宋体" w:cs="宋体"/>
                <w:color w:val="000000"/>
                <w:kern w:val="0"/>
                <w:sz w:val="20"/>
                <w:szCs w:val="20"/>
              </w:rPr>
            </w:pP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NAS存储系统</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4</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套</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proofErr w:type="gramStart"/>
            <w:r w:rsidRPr="00576C66">
              <w:rPr>
                <w:rFonts w:ascii="宋体" w:hAnsi="宋体" w:cs="宋体" w:hint="eastAsia"/>
                <w:color w:val="000000"/>
                <w:kern w:val="0"/>
                <w:sz w:val="20"/>
                <w:szCs w:val="20"/>
              </w:rPr>
              <w:t>宏杉</w:t>
            </w:r>
            <w:proofErr w:type="gramEnd"/>
            <w:r w:rsidRPr="00576C66">
              <w:rPr>
                <w:rFonts w:ascii="宋体" w:hAnsi="宋体" w:cs="宋体" w:hint="eastAsia"/>
                <w:color w:val="000000"/>
                <w:kern w:val="0"/>
                <w:sz w:val="20"/>
                <w:szCs w:val="20"/>
              </w:rPr>
              <w:t>NS2300</w:t>
            </w:r>
          </w:p>
        </w:tc>
      </w:tr>
      <w:tr w:rsidR="00C91216" w:rsidRPr="00576C66" w:rsidTr="00C91216">
        <w:trPr>
          <w:trHeight w:val="51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A01-16</w:t>
            </w: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日志审计设备</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1</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台</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proofErr w:type="gramStart"/>
            <w:r w:rsidRPr="00576C66">
              <w:rPr>
                <w:rFonts w:ascii="宋体" w:hAnsi="宋体" w:cs="宋体" w:hint="eastAsia"/>
                <w:color w:val="000000"/>
                <w:kern w:val="0"/>
                <w:sz w:val="20"/>
                <w:szCs w:val="20"/>
              </w:rPr>
              <w:t>网神</w:t>
            </w:r>
            <w:proofErr w:type="spellStart"/>
            <w:proofErr w:type="gramEnd"/>
            <w:r w:rsidRPr="00576C66">
              <w:rPr>
                <w:rFonts w:ascii="Calibri" w:hAnsi="Calibri" w:cs="Calibri"/>
                <w:color w:val="000000"/>
                <w:kern w:val="0"/>
                <w:sz w:val="20"/>
                <w:szCs w:val="20"/>
              </w:rPr>
              <w:t>SecFox</w:t>
            </w:r>
            <w:proofErr w:type="spellEnd"/>
            <w:r w:rsidRPr="00576C66">
              <w:rPr>
                <w:rFonts w:ascii="宋体" w:hAnsi="宋体" w:cs="宋体" w:hint="eastAsia"/>
                <w:color w:val="000000"/>
                <w:kern w:val="0"/>
                <w:sz w:val="20"/>
                <w:szCs w:val="20"/>
              </w:rPr>
              <w:t>安全管理系统</w:t>
            </w:r>
            <w:proofErr w:type="spellStart"/>
            <w:r w:rsidRPr="00576C66">
              <w:rPr>
                <w:rFonts w:ascii="Calibri" w:hAnsi="Calibri" w:cs="Calibri"/>
                <w:color w:val="000000"/>
                <w:kern w:val="0"/>
                <w:sz w:val="20"/>
                <w:szCs w:val="20"/>
              </w:rPr>
              <w:t>SecFox</w:t>
            </w:r>
            <w:proofErr w:type="spellEnd"/>
            <w:r w:rsidRPr="00576C66">
              <w:rPr>
                <w:rFonts w:ascii="Calibri" w:hAnsi="Calibri" w:cs="Calibri"/>
                <w:color w:val="000000"/>
                <w:kern w:val="0"/>
                <w:sz w:val="20"/>
                <w:szCs w:val="20"/>
              </w:rPr>
              <w:t>-LAS-WCN</w:t>
            </w:r>
          </w:p>
        </w:tc>
      </w:tr>
      <w:tr w:rsidR="00C91216" w:rsidRPr="00576C66" w:rsidTr="00C91216">
        <w:trPr>
          <w:trHeight w:val="51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A01-17</w:t>
            </w: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proofErr w:type="gramStart"/>
            <w:r w:rsidRPr="00576C66">
              <w:rPr>
                <w:rFonts w:ascii="宋体" w:hAnsi="宋体" w:cs="宋体" w:hint="eastAsia"/>
                <w:color w:val="000000"/>
                <w:kern w:val="0"/>
                <w:sz w:val="20"/>
                <w:szCs w:val="20"/>
              </w:rPr>
              <w:t>堡垒机</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2</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台</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proofErr w:type="gramStart"/>
            <w:r w:rsidRPr="00576C66">
              <w:rPr>
                <w:rFonts w:ascii="宋体" w:hAnsi="宋体" w:cs="宋体" w:hint="eastAsia"/>
                <w:color w:val="000000"/>
                <w:kern w:val="0"/>
                <w:sz w:val="20"/>
                <w:szCs w:val="20"/>
              </w:rPr>
              <w:t>网神</w:t>
            </w:r>
            <w:proofErr w:type="spellStart"/>
            <w:proofErr w:type="gramEnd"/>
            <w:r w:rsidRPr="00576C66">
              <w:rPr>
                <w:rFonts w:ascii="Calibri" w:hAnsi="Calibri" w:cs="Calibri"/>
                <w:color w:val="000000"/>
                <w:kern w:val="0"/>
                <w:sz w:val="20"/>
                <w:szCs w:val="20"/>
              </w:rPr>
              <w:t>SecFox</w:t>
            </w:r>
            <w:proofErr w:type="spellEnd"/>
            <w:r w:rsidRPr="00576C66">
              <w:rPr>
                <w:rFonts w:ascii="宋体" w:hAnsi="宋体" w:cs="宋体" w:hint="eastAsia"/>
                <w:color w:val="000000"/>
                <w:kern w:val="0"/>
                <w:sz w:val="20"/>
                <w:szCs w:val="20"/>
              </w:rPr>
              <w:t>运维安全管理与审计系统</w:t>
            </w:r>
            <w:r w:rsidRPr="00576C66">
              <w:rPr>
                <w:rFonts w:ascii="Calibri" w:hAnsi="Calibri" w:cs="Calibri"/>
                <w:color w:val="000000"/>
                <w:kern w:val="0"/>
                <w:sz w:val="20"/>
                <w:szCs w:val="20"/>
              </w:rPr>
              <w:t>C3000-U310M-WCN</w:t>
            </w:r>
          </w:p>
        </w:tc>
      </w:tr>
      <w:tr w:rsidR="00C91216" w:rsidRPr="00576C66" w:rsidTr="00C91216">
        <w:trPr>
          <w:trHeight w:val="27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A01-18</w:t>
            </w: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备份设备</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1</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台</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火星仓数据保护系统5.0</w:t>
            </w:r>
          </w:p>
        </w:tc>
      </w:tr>
      <w:tr w:rsidR="00C91216" w:rsidRPr="00576C66" w:rsidTr="00C91216">
        <w:trPr>
          <w:trHeight w:val="48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A01-19</w:t>
            </w: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WAF防火墙</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2</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台</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深信服防火墙NGAF V1.0千兆（具体型号：AF-1820-HQ）</w:t>
            </w:r>
          </w:p>
        </w:tc>
      </w:tr>
      <w:tr w:rsidR="00C91216" w:rsidRPr="00576C66" w:rsidTr="00C91216">
        <w:trPr>
          <w:trHeight w:val="270"/>
          <w:jc w:val="center"/>
        </w:trPr>
        <w:tc>
          <w:tcPr>
            <w:tcW w:w="698" w:type="pct"/>
            <w:tcBorders>
              <w:top w:val="nil"/>
              <w:left w:val="single" w:sz="8" w:space="0" w:color="auto"/>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A01-20</w:t>
            </w:r>
          </w:p>
        </w:tc>
        <w:tc>
          <w:tcPr>
            <w:tcW w:w="117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发布系统2</w:t>
            </w:r>
          </w:p>
        </w:tc>
        <w:tc>
          <w:tcPr>
            <w:tcW w:w="308"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1</w:t>
            </w:r>
          </w:p>
        </w:tc>
        <w:tc>
          <w:tcPr>
            <w:tcW w:w="382"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套</w:t>
            </w:r>
          </w:p>
        </w:tc>
        <w:tc>
          <w:tcPr>
            <w:tcW w:w="2440" w:type="pct"/>
            <w:tcBorders>
              <w:top w:val="nil"/>
              <w:left w:val="nil"/>
              <w:bottom w:val="single" w:sz="4" w:space="0" w:color="auto"/>
              <w:right w:val="single" w:sz="4" w:space="0" w:color="auto"/>
            </w:tcBorders>
            <w:shd w:val="clear" w:color="auto" w:fill="auto"/>
            <w:vAlign w:val="center"/>
            <w:hideMark/>
          </w:tcPr>
          <w:p w:rsidR="00C91216" w:rsidRPr="00576C66" w:rsidRDefault="00C91216" w:rsidP="00BC62AD">
            <w:pPr>
              <w:widowControl/>
              <w:jc w:val="center"/>
              <w:rPr>
                <w:rFonts w:ascii="宋体" w:hAnsi="宋体" w:cs="宋体"/>
                <w:color w:val="000000"/>
                <w:kern w:val="0"/>
                <w:sz w:val="20"/>
                <w:szCs w:val="20"/>
              </w:rPr>
            </w:pPr>
            <w:r w:rsidRPr="00576C66">
              <w:rPr>
                <w:rFonts w:ascii="宋体" w:hAnsi="宋体" w:cs="宋体" w:hint="eastAsia"/>
                <w:color w:val="000000"/>
                <w:kern w:val="0"/>
                <w:sz w:val="20"/>
                <w:szCs w:val="20"/>
              </w:rPr>
              <w:t>CMSTOP至尊型</w:t>
            </w:r>
          </w:p>
        </w:tc>
      </w:tr>
    </w:tbl>
    <w:p w:rsidR="00376C37" w:rsidRDefault="00376C37" w:rsidP="00C67E50">
      <w:pPr>
        <w:rPr>
          <w:rFonts w:ascii="仿宋_GB2312" w:eastAsia="仿宋_GB2312" w:hAnsi="Times New Roman" w:cs="Times New Roman"/>
          <w:sz w:val="30"/>
          <w:szCs w:val="30"/>
        </w:rPr>
      </w:pPr>
    </w:p>
    <w:p w:rsidR="00F2405F" w:rsidRPr="004D347C" w:rsidRDefault="00F74A25" w:rsidP="0090021C">
      <w:pPr>
        <w:rPr>
          <w:szCs w:val="32"/>
        </w:rPr>
      </w:pPr>
      <w:r w:rsidRPr="00F74A25">
        <w:rPr>
          <w:rFonts w:ascii="仿宋_GB2312" w:eastAsia="仿宋_GB2312" w:hAnsi="Times New Roman" w:cs="Times New Roman" w:hint="eastAsia"/>
          <w:sz w:val="30"/>
          <w:szCs w:val="30"/>
        </w:rPr>
        <w:t>售后服务承诺：</w:t>
      </w:r>
      <w:r w:rsidR="0090021C" w:rsidRPr="004D347C">
        <w:rPr>
          <w:szCs w:val="32"/>
        </w:rPr>
        <w:t xml:space="preserve"> </w:t>
      </w:r>
    </w:p>
    <w:p w:rsidR="00355626" w:rsidRDefault="00355626" w:rsidP="00355626">
      <w:pPr>
        <w:spacing w:line="360" w:lineRule="auto"/>
        <w:ind w:firstLineChars="200" w:firstLine="480"/>
        <w:rPr>
          <w:rFonts w:hint="eastAsia"/>
          <w:sz w:val="24"/>
        </w:rPr>
      </w:pPr>
      <w:r w:rsidRPr="00484CBB">
        <w:rPr>
          <w:rFonts w:hint="eastAsia"/>
          <w:sz w:val="24"/>
        </w:rPr>
        <w:t>博雅软件公司作为本项目技术支持与售后服务的主要承担者和责任人，博雅软件公司承诺能提供及时、高效的技术支持与售后服务，确保在工程实施验收合格后，各平台能长期稳定运行；技术支持与售后服务的范围包括本项目所涉及的所有软硬件产品及各类技术服务。基于招标书中对技术支持和售后服务的要求，博雅软件公司具体承诺如下：</w:t>
      </w:r>
    </w:p>
    <w:p w:rsidR="00355626" w:rsidRPr="006A3EC7" w:rsidRDefault="00355626" w:rsidP="00355626">
      <w:pPr>
        <w:numPr>
          <w:ilvl w:val="0"/>
          <w:numId w:val="3"/>
        </w:numPr>
        <w:spacing w:line="360" w:lineRule="auto"/>
        <w:rPr>
          <w:rFonts w:hint="eastAsia"/>
          <w:sz w:val="24"/>
        </w:rPr>
      </w:pPr>
      <w:r>
        <w:rPr>
          <w:rFonts w:ascii="宋体" w:hAnsi="宋体" w:hint="eastAsia"/>
          <w:sz w:val="24"/>
        </w:rPr>
        <w:lastRenderedPageBreak/>
        <w:t>博雅软件</w:t>
      </w:r>
      <w:r w:rsidRPr="001861A1">
        <w:rPr>
          <w:rFonts w:ascii="宋体" w:hAnsi="宋体"/>
          <w:sz w:val="24"/>
        </w:rPr>
        <w:t>提供</w:t>
      </w:r>
      <w:r w:rsidRPr="001861A1">
        <w:rPr>
          <w:rFonts w:ascii="宋体" w:hAnsi="宋体" w:hint="eastAsia"/>
          <w:sz w:val="24"/>
        </w:rPr>
        <w:t>软硬件</w:t>
      </w:r>
      <w:r w:rsidRPr="001861A1">
        <w:rPr>
          <w:rFonts w:ascii="宋体" w:hAnsi="宋体"/>
          <w:sz w:val="24"/>
        </w:rPr>
        <w:t>的配置安装及集成工作，原厂商提供设备安装的技术支持。</w:t>
      </w:r>
      <w:r>
        <w:rPr>
          <w:rFonts w:ascii="宋体" w:hAnsi="宋体" w:hint="eastAsia"/>
          <w:sz w:val="24"/>
        </w:rPr>
        <w:t>博雅软件</w:t>
      </w:r>
      <w:r w:rsidRPr="001861A1">
        <w:rPr>
          <w:rFonts w:ascii="宋体" w:hAnsi="宋体"/>
          <w:sz w:val="24"/>
        </w:rPr>
        <w:t>提供详细的安装规划文档包括系统补丁列表、系统参数调整列表、安装软件组件列表、以及系统环境变量列表。</w:t>
      </w:r>
    </w:p>
    <w:p w:rsidR="00355626" w:rsidRPr="001861A1" w:rsidRDefault="00355626" w:rsidP="00355626">
      <w:pPr>
        <w:numPr>
          <w:ilvl w:val="0"/>
          <w:numId w:val="3"/>
        </w:numPr>
        <w:spacing w:line="360" w:lineRule="auto"/>
        <w:rPr>
          <w:rFonts w:ascii="宋体" w:hAnsi="宋体"/>
          <w:sz w:val="24"/>
        </w:rPr>
      </w:pPr>
      <w:r w:rsidRPr="001861A1">
        <w:rPr>
          <w:rFonts w:ascii="宋体" w:hAnsi="宋体" w:hint="eastAsia"/>
          <w:sz w:val="24"/>
        </w:rPr>
        <w:t>品目A01-10至A01-11、A01-17、A01-19提供原厂售后服务承诺</w:t>
      </w:r>
      <w:proofErr w:type="gramStart"/>
      <w:r w:rsidRPr="001861A1">
        <w:rPr>
          <w:rFonts w:ascii="宋体" w:hAnsi="宋体" w:hint="eastAsia"/>
          <w:sz w:val="24"/>
        </w:rPr>
        <w:t>函提供</w:t>
      </w:r>
      <w:proofErr w:type="gramEnd"/>
      <w:r w:rsidRPr="001861A1">
        <w:rPr>
          <w:rFonts w:ascii="宋体" w:hAnsi="宋体"/>
          <w:sz w:val="24"/>
        </w:rPr>
        <w:t>技术服务</w:t>
      </w:r>
      <w:r w:rsidRPr="001861A1">
        <w:rPr>
          <w:rFonts w:ascii="宋体" w:hAnsi="宋体" w:hint="eastAsia"/>
          <w:sz w:val="24"/>
        </w:rPr>
        <w:t>期限</w:t>
      </w:r>
      <w:r w:rsidRPr="001861A1">
        <w:rPr>
          <w:rFonts w:ascii="宋体" w:hAnsi="宋体"/>
          <w:sz w:val="24"/>
        </w:rPr>
        <w:t>为</w:t>
      </w:r>
      <w:r w:rsidRPr="001861A1">
        <w:rPr>
          <w:rFonts w:ascii="宋体" w:hAnsi="宋体" w:hint="eastAsia"/>
          <w:sz w:val="24"/>
        </w:rPr>
        <w:t>3年，从投入使用开始3年内，</w:t>
      </w:r>
      <w:r>
        <w:rPr>
          <w:rFonts w:ascii="宋体" w:hAnsi="宋体"/>
          <w:sz w:val="24"/>
        </w:rPr>
        <w:t>针对硬件使用过程中出现的技术问题，</w:t>
      </w:r>
      <w:r w:rsidRPr="001861A1">
        <w:rPr>
          <w:rFonts w:ascii="宋体" w:hAnsi="宋体"/>
          <w:sz w:val="24"/>
        </w:rPr>
        <w:t>提供7*24小时电话/Email/现场的技术支持，包括问题诊断、提供可行的问题解决方案、技术应答、对软件的调节/优化提供建议，提供4小时带备件现场保修。</w:t>
      </w:r>
    </w:p>
    <w:p w:rsidR="00355626" w:rsidRPr="00D36914" w:rsidRDefault="00355626" w:rsidP="00355626">
      <w:pPr>
        <w:numPr>
          <w:ilvl w:val="0"/>
          <w:numId w:val="3"/>
        </w:numPr>
        <w:spacing w:line="360" w:lineRule="auto"/>
        <w:rPr>
          <w:rFonts w:ascii="宋体" w:hAnsi="宋体" w:hint="eastAsia"/>
          <w:sz w:val="24"/>
        </w:rPr>
      </w:pPr>
      <w:r w:rsidRPr="001861A1">
        <w:rPr>
          <w:rFonts w:ascii="宋体" w:hAnsi="宋体" w:hint="eastAsia"/>
          <w:sz w:val="24"/>
        </w:rPr>
        <w:t>品目A01-01至A01-08，A01-15提供原厂售后服务承诺</w:t>
      </w:r>
      <w:proofErr w:type="gramStart"/>
      <w:r w:rsidRPr="001861A1">
        <w:rPr>
          <w:rFonts w:ascii="宋体" w:hAnsi="宋体" w:hint="eastAsia"/>
          <w:sz w:val="24"/>
        </w:rPr>
        <w:t>函提供</w:t>
      </w:r>
      <w:proofErr w:type="gramEnd"/>
      <w:r w:rsidRPr="001861A1">
        <w:rPr>
          <w:rFonts w:ascii="宋体" w:hAnsi="宋体"/>
          <w:sz w:val="24"/>
        </w:rPr>
        <w:t>技术服务</w:t>
      </w:r>
      <w:r w:rsidRPr="001861A1">
        <w:rPr>
          <w:rFonts w:ascii="宋体" w:hAnsi="宋体" w:hint="eastAsia"/>
          <w:sz w:val="24"/>
        </w:rPr>
        <w:t>期限</w:t>
      </w:r>
      <w:r w:rsidRPr="001861A1">
        <w:rPr>
          <w:rFonts w:ascii="宋体" w:hAnsi="宋体"/>
          <w:sz w:val="24"/>
        </w:rPr>
        <w:t>为</w:t>
      </w:r>
      <w:r w:rsidRPr="001861A1">
        <w:rPr>
          <w:rFonts w:ascii="宋体" w:hAnsi="宋体" w:hint="eastAsia"/>
          <w:sz w:val="24"/>
        </w:rPr>
        <w:t>5年，从投入使用开始5年内，</w:t>
      </w:r>
      <w:r>
        <w:rPr>
          <w:rFonts w:ascii="宋体" w:hAnsi="宋体"/>
          <w:sz w:val="24"/>
        </w:rPr>
        <w:t>针对硬件使用过程中出现的技术问题，</w:t>
      </w:r>
      <w:r w:rsidRPr="001861A1">
        <w:rPr>
          <w:rFonts w:ascii="宋体" w:hAnsi="宋体"/>
          <w:sz w:val="24"/>
        </w:rPr>
        <w:t>提供7*24小时电话/Email/现场的技术支持，包括问题诊断、提供可行的问题解决方案、技术应答、对软件的调节/优化提供建议，提供4小时带备件现场保修</w:t>
      </w:r>
      <w:r w:rsidRPr="001861A1">
        <w:rPr>
          <w:rFonts w:ascii="宋体" w:hAnsi="宋体" w:hint="eastAsia"/>
          <w:sz w:val="24"/>
        </w:rPr>
        <w:t>，五年原厂免费上门服务。</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博雅软件公司承诺将提供完善的技术支持服务体系，博雅软件总部在北京，能够</w:t>
      </w:r>
      <w:proofErr w:type="gramStart"/>
      <w:r w:rsidRPr="006A3EC7">
        <w:rPr>
          <w:rFonts w:ascii="宋体" w:hAnsi="宋体" w:hint="eastAsia"/>
          <w:sz w:val="24"/>
        </w:rPr>
        <w:t>向设备</w:t>
      </w:r>
      <w:proofErr w:type="gramEnd"/>
      <w:r w:rsidRPr="006A3EC7">
        <w:rPr>
          <w:rFonts w:ascii="宋体" w:hAnsi="宋体" w:hint="eastAsia"/>
          <w:sz w:val="24"/>
        </w:rPr>
        <w:t>所在地用户提供统一快捷的技术支持服务。</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博雅软件公司承诺将在免费保修期内，所有服务不能包含任何费用，包括备件费、差旅费等。</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博雅软件公司承诺将投标人在保修期内更换的任何零配件，是其原产品厂商生产的或是经其认可的。</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博雅软件公司承诺将提供紧急故障处理：市区内</w:t>
      </w:r>
      <w:r w:rsidRPr="006A3EC7">
        <w:rPr>
          <w:rFonts w:ascii="宋体" w:hAnsi="宋体"/>
          <w:sz w:val="24"/>
        </w:rPr>
        <w:t>1</w:t>
      </w:r>
      <w:r w:rsidRPr="006A3EC7">
        <w:rPr>
          <w:rFonts w:ascii="宋体" w:hAnsi="宋体" w:hint="eastAsia"/>
          <w:sz w:val="24"/>
        </w:rPr>
        <w:t>小时赶到现场，接到外地故障报告即刻动身实行短时间内抢修服务。</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博雅软件公司承诺将对每台产品均设专门的维修档案，维修的时间、内容、质量及服务态度、技术水平等需用户</w:t>
      </w:r>
      <w:proofErr w:type="gramStart"/>
      <w:r w:rsidRPr="006A3EC7">
        <w:rPr>
          <w:rFonts w:ascii="宋体" w:hAnsi="宋体" w:hint="eastAsia"/>
          <w:sz w:val="24"/>
        </w:rPr>
        <w:t>在维保卡上</w:t>
      </w:r>
      <w:proofErr w:type="gramEnd"/>
      <w:r w:rsidRPr="006A3EC7">
        <w:rPr>
          <w:rFonts w:ascii="宋体" w:hAnsi="宋体" w:hint="eastAsia"/>
          <w:sz w:val="24"/>
        </w:rPr>
        <w:t>签署意见，以确保售后服务工作的高质量与可靠性。每季度与用户进行一次书面意见交换，实行用户意见调查表制度，直接接受用户监督。</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博雅软件公司承诺将组织人员负责提供对使用人员的免费培训工作，直至使用人员能独立管理、操作、维护。免费培训包括：免费提供相应的培训教室、教师授课等费用。</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博雅软件公司承诺将保证365×24小时正常运行，如产品发生故障，博</w:t>
      </w:r>
      <w:r w:rsidRPr="006A3EC7">
        <w:rPr>
          <w:rFonts w:ascii="宋体" w:hAnsi="宋体" w:hint="eastAsia"/>
          <w:sz w:val="24"/>
        </w:rPr>
        <w:lastRenderedPageBreak/>
        <w:t xml:space="preserve">雅软件在接到采购人报修通知后1小时内派专业技术人员到达现场进行维修，并提供免费服务。 </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博雅软件公司承诺将投标产品选用的基础软件全部是正版软件。</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博雅软件公司承诺将所有产品的配送、培训、安装、调试等费用均包含在中标价格中。</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在此次项目中所提供技术支持与售后服务的范围包括日常服务、运维支持、系统迁移、系统升级、应用系统部署、性能调优、设备维修、故障处理、技术咨询、设备迁移、各种突发事件的应急策略等内容。</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博雅软件公司承诺向用户全面提供“一站式”服务响应，实现对用户服务需求的全程跟踪。</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博雅软件公司承诺在常规的核心业务关键期，新应用的上线期，以及用户事先告知的关键服务期，提供重点保障服务。博雅软件公司承诺按照档案统运</w:t>
      </w:r>
      <w:r>
        <w:rPr>
          <w:rFonts w:ascii="宋体" w:hAnsi="宋体" w:hint="eastAsia"/>
          <w:sz w:val="24"/>
        </w:rPr>
        <w:t>维体系的管理规定，不断调整和优化其运维服务的方式，确保满足</w:t>
      </w:r>
      <w:r w:rsidRPr="006A3EC7">
        <w:rPr>
          <w:rFonts w:ascii="宋体" w:hAnsi="宋体" w:hint="eastAsia"/>
          <w:sz w:val="24"/>
        </w:rPr>
        <w:t>系统运</w:t>
      </w:r>
      <w:proofErr w:type="gramStart"/>
      <w:r w:rsidRPr="006A3EC7">
        <w:rPr>
          <w:rFonts w:ascii="宋体" w:hAnsi="宋体" w:hint="eastAsia"/>
          <w:sz w:val="24"/>
        </w:rPr>
        <w:t>维管理</w:t>
      </w:r>
      <w:proofErr w:type="gramEnd"/>
      <w:r w:rsidRPr="006A3EC7">
        <w:rPr>
          <w:rFonts w:ascii="宋体" w:hAnsi="宋体" w:hint="eastAsia"/>
          <w:sz w:val="24"/>
        </w:rPr>
        <w:t>的要求。</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博雅软件公司承诺对本项目各个平台各类扩展以及性能优化提供技术支持，不定期、按需参与到用户</w:t>
      </w:r>
      <w:proofErr w:type="gramStart"/>
      <w:r w:rsidRPr="006A3EC7">
        <w:rPr>
          <w:rFonts w:ascii="宋体" w:hAnsi="宋体" w:hint="eastAsia"/>
          <w:sz w:val="24"/>
        </w:rPr>
        <w:t>方各项目单位</w:t>
      </w:r>
      <w:proofErr w:type="gramEnd"/>
      <w:r w:rsidRPr="006A3EC7">
        <w:rPr>
          <w:rFonts w:ascii="宋体" w:hAnsi="宋体" w:hint="eastAsia"/>
          <w:sz w:val="24"/>
        </w:rPr>
        <w:t>的维护和升级工作中。</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博雅软件公司承诺向用户免费提供电话、E-Mail和互联网支持，并且组建针对本项目的服务团队，提供足够、免费的现场服务、跟踪服务和咨询服务。</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博雅软件公司承诺为用户单位提供日常维护服务，执行日常运维作业，按照既定的巡检、监控制度定期检查各平台的运行状况，完成各类软、硬设备的运维管理，支持平台上所承载的应用系统的稳定运行。</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 xml:space="preserve">博雅软件公司承诺协助用户单位建立平台和各类软、硬设备的运维知识库及维护服务档案，详细记录平台架构、承载应用、硬件配置、软件版本、重要参数设置等内容。 </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博雅软件公司承诺针对系统平台运行过程中出现的故障，将立即进行现场故障分析，安排专人负责故障处理和恢复，并负责提交故障分析报告，就共性问题向用户单位提出故障规避建议，避免同类故障再次发生。</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lastRenderedPageBreak/>
        <w:t>博雅软件公司承诺按照用户要求，结合所承载应用系统的运行情况，定期对各个平台的总体架构和软、硬设备配置等进行深入检查、分析，及时发现平台性能瓶颈，提出合理的优化方案，提供优化改造的现场实施和技术支持</w:t>
      </w:r>
      <w:r>
        <w:rPr>
          <w:rFonts w:ascii="宋体" w:hAnsi="宋体" w:hint="eastAsia"/>
          <w:sz w:val="24"/>
        </w:rPr>
        <w:t>。</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博雅软件公司承诺将结合各个平台设备特点及所承载应用系统需求，合理规划部署备份软件，制定备份策略，执行具体备份工作。</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博雅软件公司承诺配合用户完成应用系统部署、升级、迁移、测试和优化工作。</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博雅软件公司承诺完成本项目与其他硬件平台的整体集成、衔接、测试、优化工作。</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根据博雅软件公司多年经验和项目单位实际情况，博雅软件公司承诺将结合项目实施情况，协助用户单位规划项目运</w:t>
      </w:r>
      <w:proofErr w:type="gramStart"/>
      <w:r w:rsidRPr="006A3EC7">
        <w:rPr>
          <w:rFonts w:ascii="宋体" w:hAnsi="宋体" w:hint="eastAsia"/>
          <w:sz w:val="24"/>
        </w:rPr>
        <w:t>维管理</w:t>
      </w:r>
      <w:proofErr w:type="gramEnd"/>
      <w:r w:rsidRPr="006A3EC7">
        <w:rPr>
          <w:rFonts w:ascii="宋体" w:hAnsi="宋体" w:hint="eastAsia"/>
          <w:sz w:val="24"/>
        </w:rPr>
        <w:t>体系，制定运</w:t>
      </w:r>
      <w:proofErr w:type="gramStart"/>
      <w:r w:rsidRPr="006A3EC7">
        <w:rPr>
          <w:rFonts w:ascii="宋体" w:hAnsi="宋体" w:hint="eastAsia"/>
          <w:sz w:val="24"/>
        </w:rPr>
        <w:t>维管理</w:t>
      </w:r>
      <w:proofErr w:type="gramEnd"/>
      <w:r w:rsidRPr="006A3EC7">
        <w:rPr>
          <w:rFonts w:ascii="宋体" w:hAnsi="宋体" w:hint="eastAsia"/>
          <w:sz w:val="24"/>
        </w:rPr>
        <w:t>办法、流程和计划。</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针对项目单位系统平台总体架构、基础设施环境和所承载应用特点，博雅软件公司承诺将结合网络技术和产品发展趋势，提供技术专项咨询服务、发展趋势分析和新技术咨询服务。</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博雅软件公司承诺负责制定项目应急预案，协助项目单位定期执行应急演练，验证应急预案的可用性，进一步优化应急预案，规范应急演练文档。</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博雅软件公司承诺负责制定</w:t>
      </w:r>
      <w:proofErr w:type="gramStart"/>
      <w:r w:rsidRPr="006A3EC7">
        <w:rPr>
          <w:rFonts w:ascii="宋体" w:hAnsi="宋体" w:hint="eastAsia"/>
          <w:sz w:val="24"/>
        </w:rPr>
        <w:t>项目灾备方案</w:t>
      </w:r>
      <w:proofErr w:type="gramEnd"/>
      <w:r w:rsidRPr="006A3EC7">
        <w:rPr>
          <w:rFonts w:ascii="宋体" w:hAnsi="宋体" w:hint="eastAsia"/>
          <w:sz w:val="24"/>
        </w:rPr>
        <w:t>，协助定期</w:t>
      </w:r>
      <w:proofErr w:type="gramStart"/>
      <w:r w:rsidRPr="006A3EC7">
        <w:rPr>
          <w:rFonts w:ascii="宋体" w:hAnsi="宋体" w:hint="eastAsia"/>
          <w:sz w:val="24"/>
        </w:rPr>
        <w:t>实施灾备演练</w:t>
      </w:r>
      <w:proofErr w:type="gramEnd"/>
      <w:r w:rsidRPr="006A3EC7">
        <w:rPr>
          <w:rFonts w:ascii="宋体" w:hAnsi="宋体" w:hint="eastAsia"/>
          <w:sz w:val="24"/>
        </w:rPr>
        <w:t>，验证</w:t>
      </w:r>
      <w:proofErr w:type="gramStart"/>
      <w:r w:rsidRPr="006A3EC7">
        <w:rPr>
          <w:rFonts w:ascii="宋体" w:hAnsi="宋体" w:hint="eastAsia"/>
          <w:sz w:val="24"/>
        </w:rPr>
        <w:t>灾备方案</w:t>
      </w:r>
      <w:proofErr w:type="gramEnd"/>
      <w:r w:rsidRPr="006A3EC7">
        <w:rPr>
          <w:rFonts w:ascii="宋体" w:hAnsi="宋体" w:hint="eastAsia"/>
          <w:sz w:val="24"/>
        </w:rPr>
        <w:t>的可用性。</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博雅软件公司承诺提供、整体应急演练、</w:t>
      </w:r>
      <w:proofErr w:type="gramStart"/>
      <w:r w:rsidRPr="006A3EC7">
        <w:rPr>
          <w:rFonts w:ascii="宋体" w:hAnsi="宋体" w:hint="eastAsia"/>
          <w:sz w:val="24"/>
        </w:rPr>
        <w:t>灾备演练</w:t>
      </w:r>
      <w:proofErr w:type="gramEnd"/>
      <w:r w:rsidRPr="006A3EC7">
        <w:rPr>
          <w:rFonts w:ascii="宋体" w:hAnsi="宋体" w:hint="eastAsia"/>
          <w:sz w:val="24"/>
        </w:rPr>
        <w:t>、常规业务关键期、新应用系统上线以及用户事先告知的关键服务期内的应急备件保障服务。</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负责解决系统平台运行中出现的设备故障或系统故障。针对出现的故障，进行现场故障分析，并在故障解决后12小时内，向用户单位提交故障处理报告，报告中包括说明故障种类、故障原因、故障处理方法等。</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博雅软件公司承诺按季度对故障处理报告进行分类、统计、汇总、分析，</w:t>
      </w:r>
      <w:r w:rsidRPr="006A3EC7">
        <w:rPr>
          <w:rFonts w:ascii="宋体" w:hAnsi="宋体" w:hint="eastAsia"/>
          <w:sz w:val="24"/>
        </w:rPr>
        <w:lastRenderedPageBreak/>
        <w:t>逐步完善日常运维知识库，并提交用户。</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针对引发故障的原因，博雅软件公司承诺将为用户提供日常运</w:t>
      </w:r>
      <w:proofErr w:type="gramStart"/>
      <w:r w:rsidRPr="006A3EC7">
        <w:rPr>
          <w:rFonts w:ascii="宋体" w:hAnsi="宋体" w:hint="eastAsia"/>
          <w:sz w:val="24"/>
        </w:rPr>
        <w:t>维建议</w:t>
      </w:r>
      <w:proofErr w:type="gramEnd"/>
      <w:r w:rsidRPr="006A3EC7">
        <w:rPr>
          <w:rFonts w:ascii="宋体" w:hAnsi="宋体" w:hint="eastAsia"/>
          <w:sz w:val="24"/>
        </w:rPr>
        <w:t>或维护方案，避免同类故障再次发生。</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博雅软件公司承诺在服务期内，根据项目单位要求，负责各类应用系统在平台的上线、迁移、升级。</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博雅软件公司承诺在应用系统部署之前，与应用系统开发商进行详细沟通，共同编写应用部署方案，包括应用部署回退机制。</w:t>
      </w:r>
    </w:p>
    <w:p w:rsidR="00355626" w:rsidRPr="006A3EC7" w:rsidRDefault="00355626" w:rsidP="00355626">
      <w:pPr>
        <w:numPr>
          <w:ilvl w:val="0"/>
          <w:numId w:val="3"/>
        </w:numPr>
        <w:spacing w:line="360" w:lineRule="auto"/>
        <w:rPr>
          <w:rFonts w:ascii="宋体" w:hAnsi="宋体"/>
          <w:sz w:val="24"/>
        </w:rPr>
      </w:pPr>
      <w:r w:rsidRPr="006A3EC7">
        <w:rPr>
          <w:rFonts w:ascii="宋体" w:hAnsi="宋体" w:hint="eastAsia"/>
          <w:sz w:val="24"/>
        </w:rPr>
        <w:t>博雅软件公司的客服中心（含各地的分支机构）将按照ISO 9001质量体系标准，在本项目的专职服务经理协调下，与设备厂商一起，通过多种方式，竭诚为用户服务。</w:t>
      </w:r>
    </w:p>
    <w:p w:rsidR="00CD22F0" w:rsidRPr="00355626" w:rsidRDefault="00CD22F0" w:rsidP="005777AE">
      <w:pPr>
        <w:spacing w:line="360" w:lineRule="auto"/>
        <w:ind w:leftChars="297" w:left="2270" w:hangingChars="686" w:hanging="1646"/>
        <w:rPr>
          <w:rFonts w:ascii="Calibri" w:eastAsia="宋体" w:hAnsi="Calibri" w:cs="Times New Roman"/>
          <w:sz w:val="24"/>
        </w:rPr>
      </w:pPr>
    </w:p>
    <w:sectPr w:rsidR="00CD22F0" w:rsidRPr="00355626" w:rsidSect="003A26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D82" w:rsidRDefault="000C4D82" w:rsidP="00F74A25">
      <w:r>
        <w:separator/>
      </w:r>
    </w:p>
  </w:endnote>
  <w:endnote w:type="continuationSeparator" w:id="1">
    <w:p w:rsidR="000C4D82" w:rsidRDefault="000C4D82" w:rsidP="00F74A2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方正韵动中黑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方正博雅宋_GBK">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D82" w:rsidRDefault="000C4D82" w:rsidP="00F74A25">
      <w:r>
        <w:separator/>
      </w:r>
    </w:p>
  </w:footnote>
  <w:footnote w:type="continuationSeparator" w:id="1">
    <w:p w:rsidR="000C4D82" w:rsidRDefault="000C4D82" w:rsidP="00F74A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0DEA"/>
    <w:multiLevelType w:val="hybridMultilevel"/>
    <w:tmpl w:val="0624E1F8"/>
    <w:lvl w:ilvl="0" w:tplc="FFFFFFFF">
      <w:start w:val="1"/>
      <w:numFmt w:val="bullet"/>
      <w:lvlText w:val=""/>
      <w:lvlJc w:val="left"/>
      <w:pPr>
        <w:tabs>
          <w:tab w:val="num" w:pos="840"/>
        </w:tabs>
        <w:ind w:left="840" w:hanging="420"/>
      </w:pPr>
      <w:rPr>
        <w:rFonts w:ascii="Wingdings" w:hAnsi="Wingdings" w:hint="default"/>
      </w:rPr>
    </w:lvl>
    <w:lvl w:ilvl="1" w:tplc="FFFFFFFF">
      <w:start w:val="1"/>
      <w:numFmt w:val="bullet"/>
      <w:lvlText w:val=""/>
      <w:lvlJc w:val="left"/>
      <w:pPr>
        <w:tabs>
          <w:tab w:val="num" w:pos="1260"/>
        </w:tabs>
        <w:ind w:left="1260" w:hanging="420"/>
      </w:pPr>
      <w:rPr>
        <w:rFonts w:ascii="Wingdings" w:hAnsi="Wingdings" w:hint="default"/>
      </w:rPr>
    </w:lvl>
    <w:lvl w:ilvl="2" w:tplc="FFFFFFFF">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1">
    <w:nsid w:val="2D2359F3"/>
    <w:multiLevelType w:val="hybridMultilevel"/>
    <w:tmpl w:val="F00447E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EDA7CAA"/>
    <w:multiLevelType w:val="multilevel"/>
    <w:tmpl w:val="62EA255C"/>
    <w:lvl w:ilvl="0">
      <w:start w:val="1"/>
      <w:numFmt w:val="decimal"/>
      <w:pStyle w:val="1"/>
      <w:lvlText w:val="第%1章"/>
      <w:lvlJc w:val="center"/>
      <w:pPr>
        <w:tabs>
          <w:tab w:val="num" w:pos="2949"/>
        </w:tabs>
        <w:ind w:left="2949" w:hanging="113"/>
      </w:pPr>
      <w:rPr>
        <w:rFonts w:ascii="方正韵动中黑简体" w:eastAsia="方正韵动中黑简体" w:hAnsi="Arial" w:hint="eastAsia"/>
        <w:b/>
        <w:i w:val="0"/>
        <w:sz w:val="44"/>
        <w:szCs w:val="44"/>
      </w:rPr>
    </w:lvl>
    <w:lvl w:ilvl="1">
      <w:start w:val="1"/>
      <w:numFmt w:val="decimal"/>
      <w:pStyle w:val="2"/>
      <w:lvlText w:val="%1.%2"/>
      <w:lvlJc w:val="left"/>
      <w:pPr>
        <w:tabs>
          <w:tab w:val="num" w:pos="567"/>
        </w:tabs>
        <w:ind w:left="567" w:hanging="567"/>
      </w:pPr>
      <w:rPr>
        <w:rFonts w:ascii="方正韵动中黑简体" w:eastAsia="方正韵动中黑简体" w:hAnsi="Arial" w:hint="eastAsia"/>
        <w:b/>
        <w:i w:val="0"/>
        <w:sz w:val="32"/>
        <w:szCs w:val="30"/>
      </w:rPr>
    </w:lvl>
    <w:lvl w:ilvl="2">
      <w:start w:val="1"/>
      <w:numFmt w:val="decimal"/>
      <w:pStyle w:val="3"/>
      <w:lvlText w:val="%1.%2.%3"/>
      <w:lvlJc w:val="left"/>
      <w:pPr>
        <w:tabs>
          <w:tab w:val="num" w:pos="1929"/>
        </w:tabs>
        <w:ind w:left="1929" w:hanging="794"/>
      </w:pPr>
      <w:rPr>
        <w:rFonts w:ascii="方正韵动中黑简体" w:eastAsia="方正韵动中黑简体" w:hAnsi="Arial" w:hint="eastAsia"/>
        <w:b w:val="0"/>
        <w:i w:val="0"/>
        <w:sz w:val="28"/>
        <w:szCs w:val="28"/>
      </w:rPr>
    </w:lvl>
    <w:lvl w:ilvl="3">
      <w:start w:val="1"/>
      <w:numFmt w:val="decimal"/>
      <w:pStyle w:val="4"/>
      <w:lvlText w:val="%1.%2.%3.%4"/>
      <w:lvlJc w:val="left"/>
      <w:pPr>
        <w:tabs>
          <w:tab w:val="num" w:pos="964"/>
        </w:tabs>
        <w:ind w:left="964" w:hanging="964"/>
      </w:pPr>
      <w:rPr>
        <w:rFonts w:ascii="方正韵动中黑简体" w:eastAsia="方正韵动中黑简体" w:hAnsi="Arial" w:hint="eastAsia"/>
        <w:b w:val="0"/>
        <w:i w:val="0"/>
        <w:sz w:val="24"/>
        <w:szCs w:val="24"/>
      </w:rPr>
    </w:lvl>
    <w:lvl w:ilvl="4">
      <w:start w:val="1"/>
      <w:numFmt w:val="decimal"/>
      <w:lvlText w:val="%1.%2.%3.%4.%5"/>
      <w:lvlJc w:val="left"/>
      <w:pPr>
        <w:tabs>
          <w:tab w:val="num" w:pos="1512"/>
        </w:tabs>
        <w:ind w:left="1512" w:hanging="1800"/>
      </w:pPr>
      <w:rPr>
        <w:rFonts w:hint="default"/>
      </w:rPr>
    </w:lvl>
    <w:lvl w:ilvl="5">
      <w:start w:val="1"/>
      <w:numFmt w:val="decimal"/>
      <w:lvlText w:val="%1.%2.%3.%4.%5.%6"/>
      <w:lvlJc w:val="left"/>
      <w:pPr>
        <w:tabs>
          <w:tab w:val="num" w:pos="1872"/>
        </w:tabs>
        <w:ind w:left="1872" w:hanging="2160"/>
      </w:pPr>
      <w:rPr>
        <w:rFonts w:hint="default"/>
      </w:rPr>
    </w:lvl>
    <w:lvl w:ilvl="6">
      <w:start w:val="1"/>
      <w:numFmt w:val="decimal"/>
      <w:lvlText w:val="%1.%2.%3.%4.%5.%6.%7"/>
      <w:lvlJc w:val="left"/>
      <w:pPr>
        <w:tabs>
          <w:tab w:val="num" w:pos="2232"/>
        </w:tabs>
        <w:ind w:left="2232" w:hanging="2520"/>
      </w:pPr>
      <w:rPr>
        <w:rFonts w:hint="default"/>
      </w:rPr>
    </w:lvl>
    <w:lvl w:ilvl="7">
      <w:start w:val="1"/>
      <w:numFmt w:val="decimal"/>
      <w:lvlText w:val="%1.%2.%3.%4.%5.%6.%7.%8"/>
      <w:lvlJc w:val="left"/>
      <w:pPr>
        <w:tabs>
          <w:tab w:val="num" w:pos="2592"/>
        </w:tabs>
        <w:ind w:left="2592" w:hanging="2880"/>
      </w:pPr>
      <w:rPr>
        <w:rFonts w:hint="default"/>
      </w:rPr>
    </w:lvl>
    <w:lvl w:ilvl="8">
      <w:start w:val="1"/>
      <w:numFmt w:val="decimal"/>
      <w:lvlText w:val="%1.%2.%3.%4.%5.%6.%7.%8.%9"/>
      <w:lvlJc w:val="left"/>
      <w:pPr>
        <w:tabs>
          <w:tab w:val="num" w:pos="2952"/>
        </w:tabs>
        <w:ind w:left="2952" w:hanging="324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A25"/>
    <w:rsid w:val="0007415E"/>
    <w:rsid w:val="000C4D82"/>
    <w:rsid w:val="00162D10"/>
    <w:rsid w:val="00165B02"/>
    <w:rsid w:val="001D725B"/>
    <w:rsid w:val="00225E75"/>
    <w:rsid w:val="00260166"/>
    <w:rsid w:val="00355626"/>
    <w:rsid w:val="00365826"/>
    <w:rsid w:val="00376C37"/>
    <w:rsid w:val="003A261B"/>
    <w:rsid w:val="004168AD"/>
    <w:rsid w:val="00425E0F"/>
    <w:rsid w:val="00444422"/>
    <w:rsid w:val="005777AE"/>
    <w:rsid w:val="005F6A07"/>
    <w:rsid w:val="00611191"/>
    <w:rsid w:val="00634DF2"/>
    <w:rsid w:val="0068625A"/>
    <w:rsid w:val="007F6441"/>
    <w:rsid w:val="00853460"/>
    <w:rsid w:val="0087119F"/>
    <w:rsid w:val="008F4114"/>
    <w:rsid w:val="008F69FA"/>
    <w:rsid w:val="0090021C"/>
    <w:rsid w:val="009A0E21"/>
    <w:rsid w:val="009B30B5"/>
    <w:rsid w:val="00A043B4"/>
    <w:rsid w:val="00AD1782"/>
    <w:rsid w:val="00B05F8C"/>
    <w:rsid w:val="00C62E1E"/>
    <w:rsid w:val="00C67E50"/>
    <w:rsid w:val="00C91216"/>
    <w:rsid w:val="00CD22F0"/>
    <w:rsid w:val="00D567F9"/>
    <w:rsid w:val="00D86782"/>
    <w:rsid w:val="00F2405F"/>
    <w:rsid w:val="00F4063A"/>
    <w:rsid w:val="00F74A25"/>
    <w:rsid w:val="00FA1C15"/>
    <w:rsid w:val="00FB66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61B"/>
    <w:pPr>
      <w:widowControl w:val="0"/>
      <w:jc w:val="both"/>
    </w:pPr>
  </w:style>
  <w:style w:type="paragraph" w:styleId="1">
    <w:name w:val="heading 1"/>
    <w:aliases w:val="my1,Heading 0,H1,Header1,h1,Heading 1 App,1,Header 1,Section Head,1st level,l1,H11,H12,H13,H14,H15,H16,H17,&amp;3,List level 1,H111,H112,PIM 1,Level 1 Topic Heading,I1,Chapter title,l1+toc 1,Level 1,Level 11,Title1,L1,1.0,Heading No. L1,H1-Heading 1,1."/>
    <w:basedOn w:val="a0"/>
    <w:next w:val="a"/>
    <w:link w:val="1Char"/>
    <w:qFormat/>
    <w:rsid w:val="005F6A07"/>
    <w:pPr>
      <w:keepNext/>
      <w:keepLines/>
      <w:numPr>
        <w:numId w:val="2"/>
      </w:numPr>
      <w:spacing w:before="340" w:after="330" w:line="578" w:lineRule="auto"/>
    </w:pPr>
    <w:rPr>
      <w:rFonts w:ascii="方正韵动中黑简体" w:eastAsia="方正韵动中黑简体" w:hAnsi="Arial" w:cs="Arial"/>
      <w:b w:val="0"/>
      <w:bCs w:val="0"/>
      <w:kern w:val="44"/>
      <w:sz w:val="44"/>
      <w:szCs w:val="44"/>
    </w:rPr>
  </w:style>
  <w:style w:type="paragraph" w:styleId="2">
    <w:name w:val="heading 2"/>
    <w:aliases w:val="第一章 标题 2,PIM2,Titre3,HD2,sect 1.2,sect 1.21,sect 1.22,sect 1.211,sect 1.23,sect 1.212,DO,sect 3.1,Underrubrik1,prop2,Heading2,No Number,A,o,H2-Heading 2,Header 2,l2,Header2,22,标题 2my2,节,Title2,2nd level,Titre2,Head 2,PA Major Section,Level 2 Head,I"/>
    <w:basedOn w:val="a0"/>
    <w:next w:val="a"/>
    <w:link w:val="2Char"/>
    <w:qFormat/>
    <w:rsid w:val="005F6A07"/>
    <w:pPr>
      <w:keepNext/>
      <w:keepLines/>
      <w:numPr>
        <w:ilvl w:val="1"/>
        <w:numId w:val="2"/>
      </w:numPr>
      <w:spacing w:before="260" w:after="260" w:line="416" w:lineRule="auto"/>
      <w:jc w:val="left"/>
      <w:outlineLvl w:val="1"/>
    </w:pPr>
    <w:rPr>
      <w:rFonts w:ascii="方正韵动中黑简体" w:eastAsia="方正韵动中黑简体" w:hAnsi="Arial" w:cs="Arial"/>
      <w:b w:val="0"/>
      <w:bCs w:val="0"/>
    </w:rPr>
  </w:style>
  <w:style w:type="paragraph" w:styleId="3">
    <w:name w:val="heading 3"/>
    <w:aliases w:val="标题 3 Char1 Char,标题 3 Char Char Char,标题 3 Char Char Char Char Char Char Char Char,Title3 Char Char Char,Map Char Char Char,H31 Char Char Char,Level 3 Topic Heading Char Char Char,heading 3 + Indent: Left 0.25 in Char Char Char,Map Char,H3,h3"/>
    <w:basedOn w:val="a0"/>
    <w:next w:val="a"/>
    <w:link w:val="3Char1"/>
    <w:qFormat/>
    <w:rsid w:val="005F6A07"/>
    <w:pPr>
      <w:keepNext/>
      <w:keepLines/>
      <w:numPr>
        <w:ilvl w:val="2"/>
        <w:numId w:val="2"/>
      </w:numPr>
      <w:spacing w:before="260" w:after="260" w:line="415" w:lineRule="auto"/>
      <w:jc w:val="both"/>
      <w:outlineLvl w:val="2"/>
    </w:pPr>
    <w:rPr>
      <w:rFonts w:ascii="Arial" w:eastAsia="方正韵动中黑简体" w:hAnsi="Arial" w:cs="Arial"/>
      <w:b w:val="0"/>
      <w:bCs w:val="0"/>
      <w:sz w:val="28"/>
    </w:rPr>
  </w:style>
  <w:style w:type="paragraph" w:styleId="4">
    <w:name w:val="heading 4"/>
    <w:aliases w:val="l4,heading 41,heading 42,heading 411,heading 43,heading 412,heading 421,h4111,Level 2 - a,(一),1.1,1。1,Table and Figures,sect 1.2.3.41,Ref Heading 11,rh11,sect 1.2.3.42,rh12,rh111,段,H4 Char,Ref Heading 1 Char,rh1 Char,Heading sql Char,h4 Char,4 Char"/>
    <w:basedOn w:val="a0"/>
    <w:next w:val="a"/>
    <w:link w:val="4Char"/>
    <w:qFormat/>
    <w:rsid w:val="005F6A07"/>
    <w:pPr>
      <w:keepNext/>
      <w:keepLines/>
      <w:numPr>
        <w:ilvl w:val="3"/>
        <w:numId w:val="2"/>
      </w:numPr>
      <w:spacing w:before="280" w:after="290" w:line="376" w:lineRule="auto"/>
      <w:jc w:val="both"/>
      <w:outlineLvl w:val="3"/>
    </w:pPr>
    <w:rPr>
      <w:rFonts w:ascii="Arial" w:eastAsia="方正韵动中黑简体" w:hAnsi="Arial" w:cs="Arial"/>
      <w:b w:val="0"/>
      <w:bCs w:val="0"/>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74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F74A25"/>
    <w:rPr>
      <w:sz w:val="18"/>
      <w:szCs w:val="18"/>
    </w:rPr>
  </w:style>
  <w:style w:type="paragraph" w:styleId="a5">
    <w:name w:val="footer"/>
    <w:basedOn w:val="a"/>
    <w:link w:val="Char0"/>
    <w:uiPriority w:val="99"/>
    <w:semiHidden/>
    <w:unhideWhenUsed/>
    <w:rsid w:val="00F74A25"/>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F74A25"/>
    <w:rPr>
      <w:sz w:val="18"/>
      <w:szCs w:val="18"/>
    </w:rPr>
  </w:style>
  <w:style w:type="paragraph" w:styleId="a6">
    <w:name w:val="Body Text"/>
    <w:aliases w:val="EHPT,Body Text2,Body Text(ch),鋘drad,paragraph 2,paragraph 21,居中,Bodytext,AvtalBrödtext,ändrad,AvtalBrodtext,andrad, ändrad,正文文字 Char1,Body Text(ch) Char,body text Char,bt Char, ändrad Char,?y????×?,????,NICMAN Body Text,?y????,?y?????,特殊文字,ÌØÊâÎÄ×Ö"/>
    <w:basedOn w:val="a"/>
    <w:link w:val="Char1"/>
    <w:rsid w:val="00162D10"/>
    <w:pPr>
      <w:spacing w:before="60" w:after="60" w:line="360" w:lineRule="auto"/>
      <w:ind w:firstLineChars="200" w:firstLine="200"/>
    </w:pPr>
    <w:rPr>
      <w:rFonts w:ascii="Calibri" w:eastAsia="宋体" w:hAnsi="Calibri" w:cs="Times New Roman"/>
      <w:sz w:val="24"/>
    </w:rPr>
  </w:style>
  <w:style w:type="character" w:customStyle="1" w:styleId="Char1">
    <w:name w:val="正文文本 Char"/>
    <w:aliases w:val="EHPT Char,Body Text2 Char,Body Text(ch) Char1,鋘drad Char,paragraph 2 Char,paragraph 21 Char,居中 Char,Bodytext Char,AvtalBrödtext Char,ändrad Char,AvtalBrodtext Char,andrad Char, ändrad Char1,正文文字 Char1 Char,Body Text(ch) Char Char,bt Char Char"/>
    <w:basedOn w:val="a1"/>
    <w:link w:val="a6"/>
    <w:rsid w:val="00162D10"/>
    <w:rPr>
      <w:rFonts w:ascii="Calibri" w:eastAsia="宋体" w:hAnsi="Calibri" w:cs="Times New Roman"/>
      <w:sz w:val="24"/>
    </w:rPr>
  </w:style>
  <w:style w:type="character" w:customStyle="1" w:styleId="1Char">
    <w:name w:val="标题 1 Char"/>
    <w:aliases w:val="my1 Char,Heading 0 Char,H1 Char,Header1 Char,h1 Char,Heading 1 App Char,1 Char,Header 1 Char,Section Head Char,1st level Char,l1 Char,H11 Char,H12 Char,H13 Char,H14 Char,H15 Char,H16 Char,H17 Char,&amp;3 Char,List level 1 Char,H111 Char,H112 Char"/>
    <w:basedOn w:val="a1"/>
    <w:link w:val="1"/>
    <w:rsid w:val="005F6A07"/>
    <w:rPr>
      <w:rFonts w:ascii="方正韵动中黑简体" w:eastAsia="方正韵动中黑简体" w:hAnsi="Arial" w:cs="Arial"/>
      <w:kern w:val="44"/>
      <w:sz w:val="44"/>
      <w:szCs w:val="44"/>
    </w:rPr>
  </w:style>
  <w:style w:type="character" w:customStyle="1" w:styleId="2Char">
    <w:name w:val="标题 2 Char"/>
    <w:aliases w:val="第一章 标题 2 Char,PIM2 Char,Titre3 Char,HD2 Char,sect 1.2 Char,sect 1.21 Char,sect 1.22 Char,sect 1.211 Char,sect 1.23 Char,sect 1.212 Char,DO Char,sect 3.1 Char,Underrubrik1 Char,prop2 Char,Heading2 Char,No Number Char,A Char,o Char,Header 2 Char"/>
    <w:basedOn w:val="a1"/>
    <w:link w:val="2"/>
    <w:rsid w:val="005F6A07"/>
    <w:rPr>
      <w:rFonts w:ascii="方正韵动中黑简体" w:eastAsia="方正韵动中黑简体" w:hAnsi="Arial" w:cs="Arial"/>
      <w:sz w:val="32"/>
      <w:szCs w:val="32"/>
    </w:rPr>
  </w:style>
  <w:style w:type="character" w:customStyle="1" w:styleId="3Char">
    <w:name w:val="标题 3 Char"/>
    <w:basedOn w:val="a1"/>
    <w:link w:val="3"/>
    <w:uiPriority w:val="9"/>
    <w:semiHidden/>
    <w:rsid w:val="005F6A07"/>
    <w:rPr>
      <w:b/>
      <w:bCs/>
      <w:sz w:val="32"/>
      <w:szCs w:val="32"/>
    </w:rPr>
  </w:style>
  <w:style w:type="character" w:customStyle="1" w:styleId="4Char">
    <w:name w:val="标题 4 Char"/>
    <w:aliases w:val="l4 Char,heading 41 Char,heading 42 Char,heading 411 Char,heading 43 Char,heading 412 Char,heading 421 Char,h4111 Char,Level 2 - a Char,(一) Char,1.1 Char,1。1 Char,Table and Figures Char,sect 1.2.3.41 Char,Ref Heading 11 Char,rh11 Char,rh12 Char"/>
    <w:basedOn w:val="a1"/>
    <w:link w:val="4"/>
    <w:rsid w:val="005F6A07"/>
    <w:rPr>
      <w:rFonts w:ascii="Arial" w:eastAsia="方正韵动中黑简体" w:hAnsi="Arial" w:cs="Arial"/>
      <w:sz w:val="24"/>
      <w:szCs w:val="28"/>
    </w:rPr>
  </w:style>
  <w:style w:type="character" w:customStyle="1" w:styleId="3Char1">
    <w:name w:val="标题 3 Char1"/>
    <w:aliases w:val="标题 3 Char1 Char Char,标题 3 Char Char Char Char,标题 3 Char Char Char Char Char Char Char Char Char,Title3 Char Char Char Char,Map Char Char Char Char,H31 Char Char Char Char,Level 3 Topic Heading Char Char Char Char,Map Char Char,H3 Char,h3 Char"/>
    <w:link w:val="3"/>
    <w:rsid w:val="005F6A07"/>
    <w:rPr>
      <w:rFonts w:ascii="Arial" w:eastAsia="方正韵动中黑简体" w:hAnsi="Arial" w:cs="Arial"/>
      <w:sz w:val="28"/>
      <w:szCs w:val="32"/>
    </w:rPr>
  </w:style>
  <w:style w:type="paragraph" w:customStyle="1" w:styleId="a7">
    <w:name w:val="标书正文"/>
    <w:basedOn w:val="a"/>
    <w:link w:val="Char2"/>
    <w:qFormat/>
    <w:rsid w:val="005F6A07"/>
    <w:pPr>
      <w:widowControl/>
      <w:adjustRightInd w:val="0"/>
      <w:snapToGrid w:val="0"/>
      <w:spacing w:line="360" w:lineRule="auto"/>
      <w:ind w:firstLineChars="177" w:firstLine="425"/>
      <w:jc w:val="left"/>
    </w:pPr>
    <w:rPr>
      <w:rFonts w:ascii="Times" w:eastAsia="方正博雅宋_GBK" w:hAnsi="Times" w:cs="宋体"/>
      <w:sz w:val="24"/>
      <w:szCs w:val="20"/>
    </w:rPr>
  </w:style>
  <w:style w:type="character" w:customStyle="1" w:styleId="Char2">
    <w:name w:val="标书正文 Char"/>
    <w:link w:val="a7"/>
    <w:rsid w:val="005F6A07"/>
    <w:rPr>
      <w:rFonts w:ascii="Times" w:eastAsia="方正博雅宋_GBK" w:hAnsi="Times" w:cs="宋体"/>
      <w:sz w:val="24"/>
      <w:szCs w:val="20"/>
    </w:rPr>
  </w:style>
  <w:style w:type="paragraph" w:styleId="a0">
    <w:name w:val="Title"/>
    <w:basedOn w:val="a"/>
    <w:next w:val="a"/>
    <w:link w:val="Char3"/>
    <w:uiPriority w:val="10"/>
    <w:qFormat/>
    <w:rsid w:val="005F6A07"/>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1"/>
    <w:link w:val="a0"/>
    <w:uiPriority w:val="10"/>
    <w:rsid w:val="005F6A07"/>
    <w:rPr>
      <w:rFonts w:asciiTheme="majorHAnsi" w:eastAsia="宋体" w:hAnsiTheme="majorHAnsi" w:cstheme="majorBidi"/>
      <w:b/>
      <w:bCs/>
      <w:sz w:val="32"/>
      <w:szCs w:val="32"/>
    </w:rPr>
  </w:style>
  <w:style w:type="character" w:customStyle="1" w:styleId="apple-converted-space">
    <w:name w:val="apple-converted-space"/>
    <w:rsid w:val="00C67E50"/>
  </w:style>
  <w:style w:type="paragraph" w:styleId="a8">
    <w:name w:val="Balloon Text"/>
    <w:basedOn w:val="a"/>
    <w:link w:val="Char4"/>
    <w:uiPriority w:val="99"/>
    <w:semiHidden/>
    <w:unhideWhenUsed/>
    <w:rsid w:val="00376C37"/>
    <w:rPr>
      <w:sz w:val="18"/>
      <w:szCs w:val="18"/>
    </w:rPr>
  </w:style>
  <w:style w:type="character" w:customStyle="1" w:styleId="Char4">
    <w:name w:val="批注框文本 Char"/>
    <w:basedOn w:val="a1"/>
    <w:link w:val="a8"/>
    <w:uiPriority w:val="99"/>
    <w:semiHidden/>
    <w:rsid w:val="00376C3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xuezongwei</cp:lastModifiedBy>
  <cp:revision>34</cp:revision>
  <dcterms:created xsi:type="dcterms:W3CDTF">2015-09-08T07:48:00Z</dcterms:created>
  <dcterms:modified xsi:type="dcterms:W3CDTF">2016-06-03T08:12:00Z</dcterms:modified>
</cp:coreProperties>
</file>