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光明日报社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2026年02月25日</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Times New Roman" w:hAnsi="Times New Roman" w:eastAsia="宋体" w:cs="Times New Roman"/>
          <w:kern w:val="0"/>
          <w:sz w:val="32"/>
          <w:szCs w:val="32"/>
          <w:lang w:val="en-US" w:eastAsia="zh-CN" w:bidi="ar"/>
        </w:rPr>
      </w:pPr>
      <w:bookmarkStart w:id="0" w:name="商务部分_xyai_xqwj_swyq_LYBZJYQ_0"/>
      <w:r>
        <w:rPr>
          <w:rFonts w:hint="eastAsia" w:ascii="Times New Roman" w:hAnsi="Times New Roman" w:eastAsia="宋体" w:cs="Times New Roman"/>
          <w:kern w:val="0"/>
          <w:sz w:val="32"/>
          <w:szCs w:val="32"/>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1.采购内容、数量</w:t>
      </w:r>
      <w:bookmarkStart w:id="1" w:name="XWZSWYQ_xyai_xq_xwz_sw_CGNRSL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国产新闻纸第一包47克7600吨。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2.采购限价</w:t>
      </w:r>
      <w:bookmarkStart w:id="2" w:name="xyai_xq_xwz_sw_CGXJ_0"/>
      <w:r>
        <w:rPr>
          <w:rFonts w:hint="eastAsia" w:ascii="Times New Roman" w:hAnsi="Times New Roman" w:eastAsia="宋体" w:cs="Times New Roman"/>
          <w:kern w:val="0"/>
          <w:sz w:val="24"/>
          <w:szCs w:val="24"/>
          <w:lang w:val="en-US" w:eastAsia="zh-CN" w:bidi="ar"/>
        </w:rPr>
        <w:t>：</w:t>
      </w:r>
      <w:bookmarkStart w:id="3" w:name="XWZSWYQ_xyai_xq_xwz_sw_CGXJ_0"/>
      <w:r>
        <w:rPr>
          <w:rFonts w:hint="eastAsia" w:ascii="Times New Roman" w:hAnsi="Times New Roman" w:eastAsia="宋体" w:cs="Times New Roman"/>
          <w:kern w:val="0"/>
          <w:sz w:val="24"/>
          <w:szCs w:val="24"/>
          <w:lang w:val="en-US" w:eastAsia="zh-CN" w:bidi="ar"/>
        </w:rPr>
        <w:t>采购限价5300元/吨。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sz w:val="24"/>
          <w:u w:color="auto"/>
          <w:lang w:eastAsia="zh-CN"/>
        </w:rPr>
      </w:pPr>
      <w:r>
        <w:rPr>
          <w:rFonts w:hint="eastAsia" w:ascii="Times New Roman" w:hAnsi="Times New Roman" w:eastAsia="宋体" w:cs="Times New Roman"/>
          <w:kern w:val="0"/>
          <w:sz w:val="24"/>
          <w:szCs w:val="24"/>
          <w:lang w:val="en-US" w:eastAsia="zh-CN" w:bidi="ar"/>
        </w:rPr>
        <w:t>3.交货地点及数量</w:t>
      </w:r>
      <w:bookmarkStart w:id="4" w:name="XWZSWYQ_xyai_xq_xwz_sw_JHDDSL_0"/>
      <w:r>
        <w:rPr>
          <w:rFonts w:hint="eastAsia" w:ascii="Times New Roman" w:hAnsi="Times New Roman" w:eastAsia="宋体" w:cs="Times New Roman"/>
          <w:kern w:val="0"/>
          <w:sz w:val="24"/>
          <w:szCs w:val="24"/>
          <w:lang w:val="en-US" w:eastAsia="zh-CN" w:bidi="ar"/>
        </w:rPr>
        <w:t>：</w:t>
      </w:r>
      <w:r>
        <w:rPr>
          <w:rFonts w:hint="eastAsia" w:ascii="Times New Roman" w:hAnsi="Times New Roman" w:eastAsia="Times New Roman" w:cs="Times New Roman"/>
          <w:sz w:val="24"/>
          <w:u w:color="auto"/>
          <w:lang w:val="en-US" w:eastAsia="zh-CN"/>
        </w:rPr>
        <w:t>北京、石家庄、郑州、济南、太原、哈尔滨、沈阳、长春、兰州、银川、乌</w:t>
      </w:r>
      <w:bookmarkStart w:id="28" w:name="_GoBack"/>
      <w:bookmarkEnd w:id="28"/>
      <w:r>
        <w:rPr>
          <w:rFonts w:hint="eastAsia" w:ascii="Times New Roman" w:hAnsi="Times New Roman" w:eastAsia="Times New Roman" w:cs="Times New Roman"/>
          <w:sz w:val="24"/>
          <w:u w:color="auto"/>
          <w:lang w:val="en-US" w:eastAsia="zh-CN"/>
        </w:rPr>
        <w:t>鲁木齐、拉萨等地。仅供参考，具体交货时间、交货数量、交货规格、交货地点等，以</w:t>
      </w:r>
      <w:r>
        <w:rPr>
          <w:rFonts w:ascii="Times New Roman" w:hAnsi="Times New Roman" w:eastAsia="Times New Roman" w:cs="Times New Roman"/>
          <w:sz w:val="24"/>
          <w:u w:color="auto"/>
        </w:rPr>
        <w:t>光明日报社纸张发运计划清单为准</w:t>
      </w:r>
      <w:r>
        <w:rPr>
          <w:rFonts w:hint="eastAsia" w:ascii="Times New Roman" w:hAnsi="Times New Roman" w:eastAsia="宋体" w:cs="Times New Roman"/>
          <w:sz w:val="24"/>
          <w:u w:color="auto"/>
          <w:lang w:eastAsia="zh-CN"/>
        </w:rPr>
        <w:t>。</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4.交货时间</w:t>
      </w:r>
      <w:bookmarkStart w:id="5" w:name="XWZSWYQ_xyai_xq_xwz_sw_JHSJ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合同签订后，自供应商收到采购人发出的光明日报社纸张发运计划清单之日起，15天内供货到指定印刷厂位置。</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5.履约保证金</w:t>
      </w:r>
      <w:bookmarkStart w:id="6" w:name="ROOT_xyai_xqwj_swyq_LYBZJYQ_0"/>
      <w:r>
        <w:rPr>
          <w:rFonts w:hint="eastAsia" w:ascii="Times New Roman" w:hAnsi="Times New Roman" w:eastAsia="宋体" w:cs="Times New Roman"/>
          <w:kern w:val="0"/>
          <w:sz w:val="24"/>
          <w:szCs w:val="24"/>
          <w:lang w:val="en-US" w:eastAsia="zh-CN" w:bidi="ar"/>
        </w:rPr>
        <w:t>：</w:t>
      </w:r>
      <w:bookmarkStart w:id="7" w:name="XWZSWYQ_xyai_xq_xwz_sw_LYBZJ_0"/>
      <w:r>
        <w:rPr>
          <w:rFonts w:hint="eastAsia" w:ascii="Times New Roman" w:hAnsi="Times New Roman" w:eastAsia="宋体" w:cs="Times New Roman"/>
          <w:kern w:val="0"/>
          <w:sz w:val="24"/>
          <w:szCs w:val="24"/>
          <w:lang w:val="en-US" w:eastAsia="zh-CN" w:bidi="ar"/>
        </w:rPr>
        <w:t>本项目不收取履约保证金。</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6.质量保证期</w:t>
      </w:r>
      <w:bookmarkStart w:id="8" w:name="XWZSWYQ_xyai_xq_xwz_sw_ZLBZ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供应商应保证所提供的新闻纸完全符规定的质量、规格和性能等要求。新闻纸质保期为采购人检验符合要求之日起6个月。货物出现质量问题，供应商应当提供免费维修、更换服务。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7.合同履行期限</w:t>
      </w:r>
      <w:bookmarkStart w:id="9" w:name="XWZSWYQ_xyai_xq_xwz_sw_HTLX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8.付款方式</w:t>
      </w:r>
      <w:bookmarkStart w:id="10" w:name="XWZSWYQ_xyai_xq_xwz_sw_FKFS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供应商根据采购人要求的时间和需求量，分批向采购人指定的地点供货；供应商将每批新闻纸全部运抵交货地点由采购人或采购人指定的接收人对货物外观、数量进行现场验收、签署现场验收证书后确认收货。</w:t>
      </w:r>
      <w:r>
        <w:rPr>
          <w:rFonts w:ascii="Times New Roman" w:hAnsi="Times New Roman" w:eastAsia="Times New Roman" w:cs="Times New Roman"/>
          <w:sz w:val="24"/>
          <w:u w:color="auto"/>
        </w:rPr>
        <w:cr/>
      </w:r>
      <w:r>
        <w:rPr>
          <w:rFonts w:ascii="Times New Roman" w:hAnsi="Times New Roman" w:eastAsia="Times New Roman" w:cs="Times New Roman"/>
          <w:sz w:val="24"/>
          <w:u w:color="auto"/>
        </w:rPr>
        <w:t>货款以人民币记账付款，每批次新闻纸交货完成后，供应商应根据采购人要求提供发票、数量清单、印点收货凭证、检验合格入库的确认单等相关材料，采购人核对无误后10天内，通过电汇或双方约定的其他方式支付该批次合同款项。</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9.报价要求</w:t>
      </w:r>
      <w:bookmarkStart w:id="11" w:name="XWZSWYQ_xyai_xq_xwz_sw_BJY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报价中应包括但不限于制造货物、装卸、运输、保险、质保、包装、验收费用及其它一切与本项目相关的费用。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10.是否允许进口</w:t>
      </w:r>
      <w:bookmarkStart w:id="12" w:name="XWZSWYQ_xyai_xq_xwz_sw_SFJK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11.是否允许联合体</w:t>
      </w:r>
      <w:bookmarkStart w:id="13" w:name="XWZSWYQ_xyai_xq_xwz_sw_SFLHT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本项目不接受联合体投标。</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12.项目分类与行业划分</w:t>
      </w:r>
      <w:bookmarkStart w:id="14" w:name="XWZSWYQ_xyai_xq_xwz_sw_FLHE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13.节能强制采购产品信息</w:t>
      </w:r>
      <w:bookmarkStart w:id="15" w:name="XWZSWYQ_xyai_xq_xwz_sw_QZJN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pPr>
      <w:r>
        <w:rPr>
          <w:rFonts w:hint="eastAsia" w:ascii="Times New Roman" w:hAnsi="Times New Roman" w:eastAsia="宋体" w:cs="Times New Roman"/>
          <w:kern w:val="0"/>
          <w:sz w:val="24"/>
          <w:szCs w:val="24"/>
          <w:lang w:val="en-US" w:eastAsia="zh-CN" w:bidi="ar"/>
        </w:rPr>
        <w:t>2.1基本情况：本项目采购适用于《光明日报》出版需要的新闻纸，要求保证纸张质量，不得影响《光明日报》正常出版。</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2.2.1总体要求：以下要求中，标“★”的技术指标必须逐项响应并满足，不满足将导致符合性审查不通过；对于有具体参数要求的指标，供应商必须提供所投产品的具体参数值。</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2.2.2★纸张规格：纸卷横幅：781mm或1562mm；复卷直径：950－1150mm。详细规格需在纸张发运计划清单中说明。</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2.2.3★纸张克重：47g/㎡，偏差：±1g。</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2.2.4★裂断长指数：＞4000m。</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2.2.5★白度：56-59%ISO。</w:t>
      </w:r>
      <w:bookmarkEnd w:id="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2.2.6★不透明度：</w:t>
      </w:r>
      <w:bookmarkEnd w:id="10"/>
      <w:r>
        <w:rPr>
          <w:rFonts w:hint="eastAsia" w:ascii="Times New Roman" w:hAnsi="Times New Roman" w:eastAsia="宋体" w:cs="Times New Roman"/>
          <w:kern w:val="0"/>
          <w:sz w:val="24"/>
          <w:szCs w:val="24"/>
          <w:lang w:val="en-US" w:eastAsia="zh-CN" w:bidi="ar"/>
        </w:rPr>
        <w:t>&gt;93%。</w:t>
      </w:r>
      <w:bookmarkEnd w:id="1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2.2.7★平滑度：</w:t>
      </w:r>
      <w:bookmarkEnd w:id="12"/>
      <w:r>
        <w:rPr>
          <w:rFonts w:hint="eastAsia" w:ascii="Times New Roman" w:hAnsi="Times New Roman" w:eastAsia="宋体" w:cs="Times New Roman"/>
          <w:kern w:val="0"/>
          <w:sz w:val="24"/>
          <w:szCs w:val="24"/>
          <w:lang w:val="en-US" w:eastAsia="zh-CN" w:bidi="ar"/>
        </w:rPr>
        <w:t>&gt;50秒（双面），两面差不超过10%。</w:t>
      </w:r>
      <w:bookmarkEnd w:id="1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2.2.8★水分：</w:t>
      </w:r>
      <w:bookmarkEnd w:id="14"/>
      <w:r>
        <w:rPr>
          <w:rFonts w:hint="eastAsia" w:ascii="Times New Roman" w:hAnsi="Times New Roman" w:eastAsia="宋体" w:cs="Times New Roman"/>
          <w:kern w:val="0"/>
          <w:sz w:val="24"/>
          <w:szCs w:val="24"/>
          <w:lang w:val="en-US" w:eastAsia="zh-CN" w:bidi="ar"/>
        </w:rPr>
        <w:t>6-9%。</w:t>
      </w:r>
      <w:bookmarkEnd w:id="1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2.2.9★尘埃度</w:t>
      </w:r>
      <w:bookmarkStart w:id="16" w:name="jsggyq_xyai_xq_xwz_js_CAD_0"/>
      <w:r>
        <w:rPr>
          <w:rFonts w:hint="eastAsia" w:ascii="Times New Roman" w:hAnsi="Times New Roman" w:eastAsia="宋体" w:cs="Times New Roman"/>
          <w:kern w:val="0"/>
          <w:sz w:val="24"/>
          <w:szCs w:val="24"/>
          <w:lang w:val="en-US" w:eastAsia="zh-CN" w:bidi="ar"/>
        </w:rPr>
        <w:t>：</w:t>
      </w:r>
      <w:bookmarkEnd w:id="16"/>
      <w:bookmarkStart w:id="17" w:name="jsggjyq_xyai_xq_xwz_js_CAD_0"/>
      <w:r>
        <w:rPr>
          <w:rFonts w:hint="eastAsia" w:ascii="Times New Roman" w:hAnsi="Times New Roman" w:eastAsia="宋体" w:cs="Times New Roman"/>
          <w:kern w:val="0"/>
          <w:sz w:val="24"/>
          <w:szCs w:val="24"/>
          <w:lang w:val="en-US" w:eastAsia="zh-CN" w:bidi="ar"/>
        </w:rPr>
        <w:t>＜50个/㎡。</w:t>
      </w:r>
      <w:bookmarkEnd w:id="1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2.2.10★破损率</w:t>
      </w:r>
      <w:bookmarkStart w:id="18" w:name="jsggyq_xyai_xq_xwz_js_PSL_0"/>
      <w:r>
        <w:rPr>
          <w:rFonts w:hint="eastAsia" w:ascii="Times New Roman" w:hAnsi="Times New Roman" w:eastAsia="宋体" w:cs="Times New Roman"/>
          <w:kern w:val="0"/>
          <w:sz w:val="24"/>
          <w:szCs w:val="24"/>
          <w:lang w:val="en-US" w:eastAsia="zh-CN" w:bidi="ar"/>
        </w:rPr>
        <w:t>：</w:t>
      </w:r>
      <w:bookmarkEnd w:id="18"/>
      <w:bookmarkStart w:id="19" w:name="jsggjyq_xyai_xq_xwz_js_PSL_0"/>
      <w:r>
        <w:rPr>
          <w:rFonts w:hint="eastAsia" w:ascii="Times New Roman" w:hAnsi="Times New Roman" w:eastAsia="宋体" w:cs="Times New Roman"/>
          <w:kern w:val="0"/>
          <w:sz w:val="24"/>
          <w:szCs w:val="24"/>
          <w:lang w:val="en-US" w:eastAsia="zh-CN" w:bidi="ar"/>
        </w:rPr>
        <w:t>0。</w:t>
      </w:r>
      <w:bookmarkEnd w:id="1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2.2.11★接头率</w:t>
      </w:r>
      <w:bookmarkStart w:id="20" w:name="jsggyq_xyai_xq_xwz_js_JTL_0"/>
      <w:r>
        <w:rPr>
          <w:rFonts w:hint="eastAsia" w:ascii="Times New Roman" w:hAnsi="Times New Roman" w:eastAsia="宋体" w:cs="Times New Roman"/>
          <w:kern w:val="0"/>
          <w:sz w:val="24"/>
          <w:szCs w:val="24"/>
          <w:lang w:val="en-US" w:eastAsia="zh-CN" w:bidi="ar"/>
        </w:rPr>
        <w:t>：</w:t>
      </w:r>
      <w:bookmarkEnd w:id="20"/>
      <w:bookmarkStart w:id="21" w:name="jsggjyq_xyai_xq_xwz_js_JTL_0"/>
      <w:r>
        <w:rPr>
          <w:rFonts w:hint="eastAsia" w:ascii="Times New Roman" w:hAnsi="Times New Roman" w:eastAsia="宋体" w:cs="Times New Roman"/>
          <w:kern w:val="0"/>
          <w:sz w:val="24"/>
          <w:szCs w:val="24"/>
          <w:lang w:val="en-US" w:eastAsia="zh-CN" w:bidi="ar"/>
        </w:rPr>
        <w:t>0。</w:t>
      </w:r>
      <w:bookmarkEnd w:id="2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2.2.12★卷筒芯内径</w:t>
      </w:r>
      <w:bookmarkStart w:id="22" w:name="jsggyq_xyai_xq_xwz_js_NJ_0"/>
      <w:r>
        <w:rPr>
          <w:rFonts w:hint="eastAsia" w:ascii="Times New Roman" w:hAnsi="Times New Roman" w:eastAsia="宋体" w:cs="Times New Roman"/>
          <w:kern w:val="0"/>
          <w:sz w:val="24"/>
          <w:szCs w:val="24"/>
          <w:lang w:val="en-US" w:eastAsia="zh-CN" w:bidi="ar"/>
        </w:rPr>
        <w:t>：</w:t>
      </w:r>
      <w:bookmarkEnd w:id="22"/>
      <w:bookmarkStart w:id="23" w:name="jsggjyq_xyai_xq_xwz_js_NJ_0"/>
      <w:r>
        <w:rPr>
          <w:rFonts w:hint="eastAsia" w:ascii="Times New Roman" w:hAnsi="Times New Roman" w:eastAsia="宋体" w:cs="Times New Roman"/>
          <w:kern w:val="0"/>
          <w:sz w:val="24"/>
          <w:szCs w:val="24"/>
          <w:lang w:val="en-US" w:eastAsia="zh-CN" w:bidi="ar"/>
        </w:rPr>
        <w:t>76mm。</w:t>
      </w:r>
      <w:bookmarkEnd w:id="2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2.2.13★外包装</w:t>
      </w:r>
      <w:bookmarkStart w:id="24" w:name="jsggyq_xyai_xq_xwz_js_WBZ_0"/>
      <w:r>
        <w:rPr>
          <w:rFonts w:hint="eastAsia" w:ascii="Times New Roman" w:hAnsi="Times New Roman" w:eastAsia="宋体" w:cs="Times New Roman"/>
          <w:kern w:val="0"/>
          <w:sz w:val="24"/>
          <w:szCs w:val="24"/>
          <w:lang w:val="en-US" w:eastAsia="zh-CN" w:bidi="ar"/>
        </w:rPr>
        <w:t>：</w:t>
      </w:r>
      <w:bookmarkEnd w:id="24"/>
      <w:bookmarkStart w:id="25" w:name="jsggjyq_xyai_xq_xwz_js_WBZ_0"/>
      <w:r>
        <w:rPr>
          <w:rFonts w:hint="eastAsia" w:ascii="Times New Roman" w:hAnsi="Times New Roman" w:eastAsia="宋体" w:cs="Times New Roman"/>
          <w:kern w:val="0"/>
          <w:sz w:val="24"/>
          <w:szCs w:val="24"/>
          <w:lang w:val="en-US" w:eastAsia="zh-CN" w:bidi="ar"/>
        </w:rPr>
        <w:t>牛皮纸不少于2层，拉力强、防潮、不易破损。</w:t>
      </w:r>
      <w:bookmarkEnd w:id="2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2.2.14★纸面要求</w:t>
      </w:r>
      <w:bookmarkStart w:id="26" w:name="jsggyq_xyai_xq_xwz_js_ZMYQ_0"/>
      <w:r>
        <w:rPr>
          <w:rFonts w:hint="eastAsia" w:ascii="Times New Roman" w:hAnsi="Times New Roman" w:eastAsia="宋体" w:cs="Times New Roman"/>
          <w:kern w:val="0"/>
          <w:sz w:val="24"/>
          <w:szCs w:val="24"/>
          <w:lang w:val="en-US" w:eastAsia="zh-CN" w:bidi="ar"/>
        </w:rPr>
        <w:t>：</w:t>
      </w:r>
      <w:bookmarkEnd w:id="26"/>
      <w:bookmarkStart w:id="27" w:name="jsggjyq_xyai_xq_xwz_js_ZMYQ_0"/>
      <w:r>
        <w:rPr>
          <w:rFonts w:hint="eastAsia" w:ascii="Times New Roman" w:hAnsi="Times New Roman" w:eastAsia="宋体" w:cs="Times New Roman"/>
          <w:kern w:val="0"/>
          <w:sz w:val="24"/>
          <w:szCs w:val="24"/>
          <w:lang w:val="en-US" w:eastAsia="zh-CN" w:bidi="ar"/>
        </w:rPr>
        <w:t>纸面平整，不应有洞眼、裂口、褶子、疙瘩、汽斑、玻璃花、压爆等外观纸病，印刷中不应掉粉掉毛。</w:t>
      </w:r>
      <w:bookmarkEnd w:id="27"/>
    </w:p>
    <w:p>
      <w:pPr>
        <w:pageBreakBefore/>
      </w:pP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2.3.1产品配送要求：约定的交货时间、数量和地点等详见采购人制订并发送给供应商的纸张发运计划清单。供应商应在货物发运后立即通过传真、邮件等方式将发运情况告知采购人，并在7日内以加盖公章的书面文件将发运详细情况邮寄至采购人指定地点。供应商交付新闻纸的技术规格应与采购人公开招标文件中载明的技术规格相一致。供应商装运的新闻纸原则上不应超过纸张发运计划清单规定的数量。否则，供应商应对超交或少交数量而产生的一切后果负责。</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2.3.2产品质量保证要求：供应商应保证所提供的新闻纸完全符合本文件的规定质量、规格和性能等要求，新闻纸质保期为采购人检验符合要求之日起6个月。</w:t>
      </w:r>
      <w:bookmarkEnd w:id="3"/>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2.3.3售后服务要求：</w:t>
      </w:r>
      <w:bookmarkEnd w:id="4"/>
      <w:r>
        <w:rPr>
          <w:rFonts w:hint="eastAsia" w:ascii="Times New Roman" w:hAnsi="Times New Roman" w:eastAsia="宋体" w:cs="Times New Roman"/>
          <w:kern w:val="0"/>
          <w:sz w:val="24"/>
          <w:szCs w:val="24"/>
          <w:lang w:val="en-US" w:eastAsia="zh-CN" w:bidi="ar"/>
        </w:rPr>
        <w:t>质保期内出现的任何质量问题由供应商无偿负责更换和承担相应的赔偿责任。质保期内，若新闻纸的重量、质量、规格、性能与包装标签上或规定不符，以及证实新闻纸有缺陷的，采购人将以书面形式通知供应商，供应商在收到通知后五天内应及时答复采购人，并与采购人协商无偿更换新闻纸和损失赔偿事宜。</w:t>
      </w:r>
      <w:bookmarkEnd w:id="5"/>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2.3.4突发情况应急要求：</w:t>
      </w:r>
      <w:bookmarkEnd w:id="6"/>
      <w:r>
        <w:rPr>
          <w:rFonts w:hint="eastAsia" w:ascii="Times New Roman" w:hAnsi="Times New Roman" w:eastAsia="宋体" w:cs="Times New Roman"/>
          <w:kern w:val="0"/>
          <w:sz w:val="24"/>
          <w:szCs w:val="24"/>
          <w:lang w:val="en-US" w:eastAsia="zh-CN" w:bidi="ar"/>
        </w:rPr>
        <w:t>应履行所承担的运输服务、承运能力（可全国供货）、质量保障、售后服务、应急保障服务等。不可抗力是指不能预见、不能避免并不能克服的客观情况，包括但不限于自然灾害、台风、火灾、洪水、战争、社会动乱、政府行为、政策变动等。任何一方因不可抗力不能履行义务的，可根据所受不可抗力影响而部分或全部免除该方的责任。因不可抗力导致任一方迟延履行或不能履行义务的，不视为违约，双方应友好协商解决。</w:t>
      </w:r>
      <w:bookmarkEnd w:id="7"/>
      <w:bookmarkEnd w:id="8"/>
    </w:p>
    <w:p>
      <w:pPr>
        <w:pStyle w:val="27"/>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4"/>
          <w:szCs w:val="24"/>
          <w:lang w:val="en-US" w:eastAsia="zh-CN" w:bidi="ar"/>
        </w:rPr>
      </w:pPr>
    </w:p>
    <w:p>
      <w:pPr>
        <w:pStyle w:val="27"/>
        <w:keepNext w:val="0"/>
        <w:keepLines w:val="0"/>
        <w:widowControl w:val="0"/>
        <w:numPr>
          <w:ilvl w:val="0"/>
          <w:numId w:val="0"/>
        </w:numPr>
        <w:suppressLineNumbers w:val="0"/>
        <w:spacing w:before="0" w:beforeAutospacing="0" w:after="0" w:afterAutospacing="0" w:line="360" w:lineRule="auto"/>
        <w:ind w:right="0" w:rightChars="0"/>
        <w:jc w:val="center"/>
        <w:rPr>
          <w:rFonts w:hint="eastAsia" w:cs="Times New Roman"/>
          <w:kern w:val="0"/>
          <w:sz w:val="32"/>
          <w:szCs w:val="32"/>
          <w:lang w:val="en-US" w:eastAsia="zh-CN" w:bidi="ar"/>
        </w:rPr>
      </w:pPr>
      <w:r>
        <w:rPr>
          <w:rFonts w:hint="eastAsia" w:cs="Times New Roman"/>
          <w:kern w:val="0"/>
          <w:sz w:val="32"/>
          <w:szCs w:val="32"/>
          <w:lang w:val="en-US" w:eastAsia="zh-CN" w:bidi="ar"/>
        </w:rPr>
        <w:t>三、其他要求</w:t>
      </w:r>
    </w:p>
    <w:p>
      <w:pPr>
        <w:pStyle w:val="27"/>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1.各项技术指标均不低于国家标准GB/T 1910-2015优等品指标规定。</w:t>
      </w:r>
    </w:p>
    <w:p>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供应商应在项目中标后合同签订前提供2025年1月1日以来由中华人民共和国法定质检单位（经国家认证认可监督管理委员会资质认定）出具的新闻纸质检报告（质检报告需有CMA资质认定标识），质检报告需注明新闻纸品牌，品牌与投标文件所投产品一致。</w:t>
      </w:r>
    </w:p>
    <w:p>
      <w:pPr>
        <w:pageBreakBefore/>
      </w:pPr>
    </w:p>
    <w:p>
      <w:pPr>
        <w:pStyle w:val="27"/>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32"/>
          <w:szCs w:val="32"/>
          <w:lang w:val="en-US" w:eastAsia="zh-CN" w:bidi="ar"/>
        </w:rPr>
      </w:pPr>
      <w:r>
        <w:rPr>
          <w:rFonts w:hint="eastAsia" w:cs="Times New Roman"/>
          <w:kern w:val="0"/>
          <w:sz w:val="32"/>
          <w:szCs w:val="32"/>
          <w:lang w:val="en-US" w:eastAsia="zh-CN" w:bidi="ar"/>
        </w:rPr>
        <w:t>四、评审</w:t>
      </w:r>
      <w:bookmarkEnd w:id="2"/>
      <w:r>
        <w:rPr>
          <w:rFonts w:hint="eastAsia" w:ascii="Times New Roman" w:hAnsi="Times New Roman" w:eastAsia="宋体" w:cs="Times New Roman"/>
          <w:kern w:val="0"/>
          <w:sz w:val="32"/>
          <w:szCs w:val="32"/>
          <w:lang w:val="en-US" w:eastAsia="zh-CN" w:bidi="ar"/>
        </w:rPr>
        <w:t>要求</w:t>
      </w:r>
    </w:p>
    <w:p>
      <w:pPr>
        <w:pStyle w:val="27"/>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4"/>
          <w:szCs w:val="24"/>
          <w:lang w:val="en-US" w:eastAsia="zh-CN" w:bidi="ar"/>
        </w:rPr>
      </w:pPr>
      <w:r>
        <w:rPr>
          <w:rFonts w:hint="eastAsia" w:cs="Times New Roman"/>
          <w:kern w:val="0"/>
          <w:sz w:val="24"/>
          <w:szCs w:val="24"/>
          <w:lang w:val="en-US" w:eastAsia="zh-CN" w:bidi="ar"/>
        </w:rPr>
        <w:t>1.</w:t>
      </w:r>
      <w:r>
        <w:rPr>
          <w:rFonts w:hint="eastAsia" w:ascii="宋体" w:hAnsi="宋体" w:eastAsia="宋体" w:cs="宋体"/>
          <w:kern w:val="2"/>
          <w:sz w:val="24"/>
          <w:szCs w:val="24"/>
          <w:lang w:val="en-US" w:eastAsia="zh-CN" w:bidi="ar"/>
        </w:rPr>
        <w:t>本项目采用的评审方式为</w:t>
      </w:r>
      <w:r>
        <w:rPr>
          <w:rFonts w:hint="eastAsia" w:ascii="Times New Roman" w:hAnsi="Times New Roman" w:eastAsia="宋体" w:cs="Times New Roman"/>
          <w:kern w:val="0"/>
          <w:sz w:val="24"/>
          <w:szCs w:val="24"/>
          <w:lang w:val="en-US" w:eastAsia="zh-CN" w:bidi="ar"/>
        </w:rPr>
        <w:t>：</w:t>
      </w:r>
      <w:bookmarkEnd w:id="0"/>
      <w:r>
        <w:rPr>
          <w:rFonts w:hint="eastAsia" w:ascii="Times New Roman" w:hAnsi="Times New Roman" w:cs="Times New Roman"/>
          <w:kern w:val="0"/>
          <w:sz w:val="24"/>
          <w:szCs w:val="24"/>
          <w:lang w:val="en-US" w:eastAsia="zh-CN" w:bidi="ar"/>
        </w:rPr>
        <w:t>本项目采用最低评标价法。</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auto"/>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D8F93"/>
    <w:multiLevelType w:val="multilevel"/>
    <w:tmpl w:val="35CD8F93"/>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46812AB"/>
    <w:rsid w:val="15251905"/>
    <w:rsid w:val="196B5EF8"/>
    <w:rsid w:val="20D802B3"/>
    <w:rsid w:val="210611FD"/>
    <w:rsid w:val="289947F7"/>
    <w:rsid w:val="573F1103"/>
    <w:rsid w:val="5F5F4122"/>
    <w:rsid w:val="608510F9"/>
    <w:rsid w:val="77CA6F71"/>
    <w:rsid w:val="98EF6714"/>
    <w:rsid w:val="E53743D8"/>
    <w:rsid w:val="FFEF5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bd619c9b"/>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82fe39ff"/>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5ae68703"/>
    <w:semiHidden/>
    <w:qFormat/>
    <w:uiPriority w:val="0"/>
  </w:style>
  <w:style w:type="table" w:customStyle="1" w:styleId="11">
    <w:name w:val="Normal Table3c3b5eb7"/>
    <w:semiHidden/>
    <w:qFormat/>
    <w:uiPriority w:val="0"/>
    <w:tblPr>
      <w:tblCellMar>
        <w:top w:w="0" w:type="dxa"/>
        <w:left w:w="108" w:type="dxa"/>
        <w:bottom w:w="0" w:type="dxa"/>
        <w:right w:w="108" w:type="dxa"/>
      </w:tblCellMar>
    </w:tblPr>
  </w:style>
  <w:style w:type="paragraph" w:customStyle="1" w:styleId="12">
    <w:name w:val="Normal40d245f9"/>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6e0416bf"/>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f5074682"/>
    <w:semiHidden/>
    <w:qFormat/>
    <w:uiPriority w:val="0"/>
  </w:style>
  <w:style w:type="table" w:customStyle="1" w:styleId="15">
    <w:name w:val="Normal Tablec555a501"/>
    <w:semiHidden/>
    <w:qFormat/>
    <w:uiPriority w:val="0"/>
    <w:tblPr>
      <w:tblCellMar>
        <w:top w:w="0" w:type="dxa"/>
        <w:left w:w="108" w:type="dxa"/>
        <w:bottom w:w="0" w:type="dxa"/>
        <w:right w:w="108" w:type="dxa"/>
      </w:tblCellMar>
    </w:tblPr>
  </w:style>
  <w:style w:type="paragraph" w:customStyle="1" w:styleId="16">
    <w:name w:val="Normale66f2223"/>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174694fe"/>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9ac401f4"/>
    <w:semiHidden/>
    <w:qFormat/>
    <w:uiPriority w:val="0"/>
  </w:style>
  <w:style w:type="table" w:customStyle="1" w:styleId="19">
    <w:name w:val="Normal Table3853d255"/>
    <w:semiHidden/>
    <w:qFormat/>
    <w:uiPriority w:val="0"/>
    <w:tblPr>
      <w:tblCellMar>
        <w:top w:w="0" w:type="dxa"/>
        <w:left w:w="108" w:type="dxa"/>
        <w:bottom w:w="0" w:type="dxa"/>
        <w:right w:w="108" w:type="dxa"/>
      </w:tblCellMar>
    </w:tblPr>
  </w:style>
  <w:style w:type="paragraph" w:customStyle="1" w:styleId="20">
    <w:name w:val="Normal0a912819"/>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ec1a91b9"/>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a01b394c"/>
    <w:semiHidden/>
    <w:qFormat/>
    <w:uiPriority w:val="0"/>
  </w:style>
  <w:style w:type="table" w:customStyle="1" w:styleId="23">
    <w:name w:val="Normal Tabled81ca281"/>
    <w:semiHidden/>
    <w:qFormat/>
    <w:uiPriority w:val="0"/>
    <w:tblPr>
      <w:tblCellMar>
        <w:top w:w="0" w:type="dxa"/>
        <w:left w:w="108" w:type="dxa"/>
        <w:bottom w:w="0" w:type="dxa"/>
        <w:right w:w="108" w:type="dxa"/>
      </w:tblCellMar>
    </w:tblPr>
  </w:style>
  <w:style w:type="paragraph" w:customStyle="1" w:styleId="24">
    <w:name w:val="Normal75f4dc4a"/>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ae3c376e"/>
    <w:semiHidden/>
    <w:qFormat/>
    <w:uiPriority w:val="0"/>
  </w:style>
  <w:style w:type="table" w:customStyle="1" w:styleId="26">
    <w:name w:val="Normal Table32dfd28b"/>
    <w:semiHidden/>
    <w:qFormat/>
    <w:uiPriority w:val="0"/>
    <w:tblPr>
      <w:tblCellMar>
        <w:top w:w="0" w:type="dxa"/>
        <w:left w:w="108" w:type="dxa"/>
        <w:bottom w:w="0" w:type="dxa"/>
        <w:right w:w="108" w:type="dxa"/>
      </w:tblCellMar>
    </w:tblPr>
  </w:style>
  <w:style w:type="paragraph" w:customStyle="1" w:styleId="27">
    <w:name w:val="Normal418cfdfa"/>
    <w:next w:val="2"/>
    <w:qFormat/>
    <w:uiPriority w:val="0"/>
    <w:pPr>
      <w:widowControl w:val="0"/>
      <w:jc w:val="both"/>
    </w:pPr>
    <w:rPr>
      <w:rFonts w:ascii="Times New Roman" w:hAnsi="Times New Roman" w:eastAsia="宋体" w:cs="Times New Roman"/>
      <w:sz w:val="21"/>
      <w:szCs w:val="22"/>
    </w:rPr>
  </w:style>
  <w:style w:type="paragraph" w:customStyle="1" w:styleId="28">
    <w:name w:val="heading 4cba3a843"/>
    <w:basedOn w:val="27"/>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9">
    <w:name w:val="Default Paragraph Font55f307a2"/>
    <w:semiHidden/>
    <w:qFormat/>
    <w:uiPriority w:val="0"/>
  </w:style>
  <w:style w:type="table" w:customStyle="1" w:styleId="30">
    <w:name w:val="Normal Table6e5da43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1877</Words>
  <Characters>2057</Characters>
  <Lines>1</Lines>
  <Paragraphs>1</Paragraphs>
  <TotalTime>14</TotalTime>
  <ScaleCrop>false</ScaleCrop>
  <LinksUpToDate>false</LinksUpToDate>
  <CharactersWithSpaces>2062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2022-06-09T09:08:00Z</dcterms:created>
  <dc:creator>宋 艳艳</dc:creator>
  <cp:lastModifiedBy>fanfujia</cp:lastModifiedBy>
  <dcterms:modified xsi:type="dcterms:W3CDTF">2026-03-02T15:01:50Z</dcterms:modified>
  <dc:title>技术与服务要求</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