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sz w:val="22"/>
          <w:szCs w:val="22"/>
          <w:lang w:val="en-US"/>
        </w:rPr>
      </w:pPr>
      <w:r>
        <w:rPr>
          <w:rFonts w:hint="eastAsia" w:ascii="宋体" w:hAnsi="宋体" w:cs="宋体"/>
          <w:b/>
          <w:sz w:val="52"/>
          <w:szCs w:val="52"/>
          <w:lang w:val="en-US" w:eastAsia="zh-CN"/>
        </w:rPr>
        <w:t>技术与服务要求</w:t>
      </w:r>
    </w:p>
    <w:p>
      <w:pPr>
        <w:pStyle w:val="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32"/>
          <w:szCs w:val="32"/>
        </w:rPr>
        <w:t>一、商务要求</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本部分内容是根据本项目实际情况制定的。</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供应商必须仔细阅读本部分的全部条款。对本部分中存在的任何疑问、遗漏或相互矛盾之处，或是对于相关要求不清楚，认为存在歧视、限制的情况，供应商可以</w:t>
      </w:r>
      <w:r>
        <w:rPr>
          <w:rFonts w:hint="default" w:ascii="Times New Roman" w:hAnsi="Times New Roman" w:eastAsia="宋体" w:cs="Times New Roman"/>
          <w:sz w:val="24"/>
          <w:szCs w:val="24"/>
          <w:lang w:eastAsia="zh-CN"/>
        </w:rPr>
        <w:t>向采购人或采购中心寻求书面澄清</w:t>
      </w:r>
      <w:r>
        <w:rPr>
          <w:rFonts w:hint="default" w:ascii="Times New Roman" w:hAnsi="Times New Roman" w:eastAsia="宋体" w:cs="Times New Roman"/>
          <w:sz w:val="24"/>
          <w:szCs w:val="24"/>
        </w:rPr>
        <w:t>。</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本部分所列明的工艺、材料和设备的标准仅起说明作用，并没有任何限制性，供应商可以选用替代标准，但这些替代应当等于或优于文件技术要求。</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 报价要求：</w:t>
      </w:r>
      <w:bookmarkStart w:id="0" w:name="PO_XQWJ_SWYQ_xyai_xqwj_swyq_BJYQ_0"/>
      <w:r>
        <w:rPr>
          <w:rFonts w:hint="default" w:ascii="Times New Roman" w:hAnsi="Times New Roman" w:eastAsia="宋体" w:cs="Times New Roman"/>
          <w:sz w:val="24"/>
          <w:szCs w:val="24"/>
          <w:lang w:val="en-US" w:eastAsia="zh-CN"/>
        </w:rPr>
        <w:t>服务项目的费用实行包干制（包括工资、各类临时加班）。报价需满足国家、行业或北京市相关规范的所有内容。党史展览馆不另行支付规定时间人数以内的其他费用。</w:t>
      </w:r>
      <w:bookmarkEnd w:id="0"/>
    </w:p>
    <w:p>
      <w:pPr>
        <w:pStyle w:val="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履约保证金</w:t>
      </w:r>
      <w:r>
        <w:rPr>
          <w:rFonts w:hint="default" w:ascii="Times New Roman" w:hAnsi="Times New Roman" w:eastAsia="宋体" w:cs="Times New Roman"/>
          <w:sz w:val="24"/>
          <w:szCs w:val="24"/>
          <w:lang w:eastAsia="zh-CN"/>
        </w:rPr>
        <w:t>：</w:t>
      </w:r>
      <w:bookmarkStart w:id="1" w:name="PO_XQWJ_SWYQ_xyai_xqwj_swyq_LYBZJYQ_0"/>
      <w:r>
        <w:rPr>
          <w:rFonts w:hint="default" w:ascii="Times New Roman" w:hAnsi="Times New Roman" w:eastAsia="宋体" w:cs="Times New Roman"/>
          <w:sz w:val="24"/>
          <w:szCs w:val="24"/>
          <w:lang w:val="en-US" w:eastAsia="zh-CN"/>
        </w:rPr>
        <w:t>合同生效后7个工作日内，中标方按照合同总价的10%向招标方缴纳履约保证金。履约保证金应采用银行保函、政府采购履约担保函等非现金形式提交。合同期满后10个工作日内，经采购人确认中标供应商所提供的服务符合招标文件及合同要求，采购人向中标供应商退还履约保证金（不计利息）。如因中标供应商原因，造成恶劣影响、重大事故或解除合同的，按照合同约定，扣除全部履约保证金。</w:t>
      </w:r>
      <w:bookmarkEnd w:id="1"/>
    </w:p>
    <w:p>
      <w:pPr>
        <w:pStyle w:val="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i/>
          <w:sz w:val="24"/>
          <w:szCs w:val="24"/>
          <w:u w:val="single"/>
          <w:lang w:val="en-US"/>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付款方式</w:t>
      </w:r>
      <w:r>
        <w:rPr>
          <w:rFonts w:hint="default" w:ascii="Times New Roman" w:hAnsi="Times New Roman" w:eastAsia="宋体" w:cs="Times New Roman"/>
          <w:sz w:val="24"/>
          <w:szCs w:val="24"/>
          <w:lang w:eastAsia="zh-CN"/>
        </w:rPr>
        <w:t>：</w:t>
      </w:r>
      <w:bookmarkStart w:id="2" w:name="PO_XQWJ_SWYQ_xyai_xqwj_swyq_FKFS_0"/>
      <w:r>
        <w:rPr>
          <w:rFonts w:hint="default" w:ascii="Times New Roman" w:hAnsi="Times New Roman" w:eastAsia="宋体" w:cs="Times New Roman"/>
          <w:sz w:val="24"/>
          <w:szCs w:val="24"/>
          <w:lang w:val="en-US" w:eastAsia="zh-CN"/>
        </w:rPr>
        <w:t>服务费用结算：采购人在合同期内，按照实际约定上岗服务时间、人数，经考核验收合格，且无任何重大安全责任事故发生，符合岗位要求，按月结算，在次月10日内向中标供应商支付上月的服务费用，供应商应于收款同时（前）向采购人提供相应的正式发票。</w:t>
      </w:r>
      <w:bookmarkEnd w:id="2"/>
    </w:p>
    <w:p>
      <w:pPr>
        <w:pStyle w:val="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pP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 关于服务合同延续。根据《财政部关于推进和完善服务项目政府采购有关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pPr>
        <w:pStyle w:val="12"/>
        <w:keepNext w:val="0"/>
        <w:keepLines w:val="0"/>
        <w:pageBreakBefore w:val="0"/>
        <w:widowControl w:val="0"/>
        <w:kinsoku/>
        <w:wordWrap/>
        <w:overflowPunct/>
        <w:topLinePunct w:val="0"/>
        <w:autoSpaceDE/>
        <w:autoSpaceDN/>
        <w:bidi w:val="0"/>
        <w:adjustRightInd/>
        <w:snapToGrid w:val="0"/>
        <w:spacing w:line="240" w:lineRule="auto"/>
        <w:ind w:firstLine="642" w:firstLineChars="200"/>
        <w:jc w:val="center"/>
        <w:textAlignment w:val="auto"/>
        <w:rPr>
          <w:rFonts w:hint="default" w:ascii="Times New Roman" w:hAnsi="Times New Roman" w:eastAsia="宋体" w:cs="Times New Roman"/>
          <w:b/>
          <w:bCs/>
          <w:kern w:val="0"/>
          <w:sz w:val="32"/>
          <w:szCs w:val="32"/>
          <w:lang w:eastAsia="zh-CN"/>
        </w:rPr>
      </w:pPr>
    </w:p>
    <w:p>
      <w:pPr>
        <w:pStyle w:val="12"/>
        <w:keepNext w:val="0"/>
        <w:keepLines w:val="0"/>
        <w:pageBreakBefore w:val="0"/>
        <w:widowControl w:val="0"/>
        <w:kinsoku/>
        <w:wordWrap/>
        <w:overflowPunct/>
        <w:topLinePunct w:val="0"/>
        <w:autoSpaceDE/>
        <w:autoSpaceDN/>
        <w:bidi w:val="0"/>
        <w:adjustRightInd/>
        <w:snapToGrid w:val="0"/>
        <w:spacing w:line="240" w:lineRule="auto"/>
        <w:ind w:firstLine="642" w:firstLineChars="200"/>
        <w:jc w:val="center"/>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bCs/>
          <w:kern w:val="0"/>
          <w:sz w:val="32"/>
          <w:szCs w:val="32"/>
          <w:lang w:eastAsia="zh-CN"/>
        </w:rPr>
        <w:t>二</w:t>
      </w:r>
      <w:r>
        <w:rPr>
          <w:rFonts w:hint="default" w:ascii="Times New Roman" w:hAnsi="Times New Roman" w:eastAsia="宋体" w:cs="Times New Roman"/>
          <w:b/>
          <w:bCs/>
          <w:kern w:val="0"/>
          <w:sz w:val="32"/>
          <w:szCs w:val="32"/>
        </w:rPr>
        <w:t>、</w:t>
      </w:r>
      <w:r>
        <w:rPr>
          <w:rFonts w:hint="default" w:ascii="Times New Roman" w:hAnsi="Times New Roman" w:eastAsia="宋体" w:cs="Times New Roman"/>
          <w:b/>
          <w:bCs/>
          <w:kern w:val="0"/>
          <w:sz w:val="32"/>
          <w:szCs w:val="32"/>
          <w:lang w:eastAsia="zh-CN"/>
        </w:rPr>
        <w:t>技术</w:t>
      </w:r>
      <w:r>
        <w:rPr>
          <w:rFonts w:hint="default" w:ascii="Times New Roman" w:hAnsi="Times New Roman" w:eastAsia="宋体" w:cs="Times New Roman"/>
          <w:b/>
          <w:bCs/>
          <w:kern w:val="0"/>
          <w:sz w:val="32"/>
          <w:szCs w:val="32"/>
        </w:rPr>
        <w:t>要求</w:t>
      </w:r>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1"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基本情况</w:t>
      </w:r>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采购人单位情况：</w:t>
      </w:r>
      <w:bookmarkStart w:id="3" w:name="WYJBQK_xyai_xqwj_wyxm_CGRDWQK_0"/>
      <w:r>
        <w:rPr>
          <w:rFonts w:hint="default" w:ascii="Times New Roman" w:hAnsi="Times New Roman" w:eastAsia="宋体" w:cs="Times New Roman"/>
          <w:kern w:val="0"/>
          <w:sz w:val="24"/>
          <w:szCs w:val="24"/>
          <w:lang w:val="en-US" w:eastAsia="zh-CN" w:bidi="ar"/>
        </w:rPr>
        <w:t>中国共产党历史展览馆（以下简称党史展览馆）位于朝阳区北辰东路9号，隶属于中宣部。党史展览馆面向社会公众免费开放，以“不忘初心、牢记使命”为主题，全方位、全过程、全景式、史诗般展现中国共产党波澜壮阔的百年历程。同时，还担负重大会议和活动、重要外宾参观等任务。</w:t>
      </w:r>
      <w:bookmarkEnd w:id="3"/>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占地面积：</w:t>
      </w:r>
      <w:bookmarkStart w:id="4" w:name="WYJBQK_xyai_xqwj_wyxm_ZDMJ_0"/>
      <w:r>
        <w:rPr>
          <w:rFonts w:hint="default" w:ascii="Times New Roman" w:hAnsi="Times New Roman" w:eastAsia="宋体" w:cs="Times New Roman"/>
          <w:kern w:val="0"/>
          <w:sz w:val="24"/>
          <w:szCs w:val="24"/>
          <w:lang w:val="en-US" w:eastAsia="zh-CN" w:bidi="ar"/>
        </w:rPr>
        <w:t>总建筑面积14.7万平方米</w:t>
      </w:r>
      <w:bookmarkEnd w:id="4"/>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建筑物及构筑物情况：</w:t>
      </w:r>
      <w:bookmarkStart w:id="5" w:name="WYJBQK_xyai_xqwj_wyxm_JZWQK_0"/>
      <w:r>
        <w:rPr>
          <w:rFonts w:hint="default" w:ascii="Times New Roman" w:hAnsi="Times New Roman" w:eastAsia="宋体" w:cs="Times New Roman"/>
          <w:kern w:val="0"/>
          <w:sz w:val="24"/>
          <w:szCs w:val="24"/>
          <w:lang w:val="en-US" w:eastAsia="zh-CN" w:bidi="ar"/>
        </w:rPr>
        <w:t>党史展览馆展厅面积7万平米，地上4层12个展厅，地下1层2个展厅。2021年6月18日免费对观众开放参观，已接待观众超500万人次。</w:t>
      </w:r>
      <w:bookmarkEnd w:id="5"/>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园林绿化情况：</w:t>
      </w:r>
      <w:bookmarkStart w:id="6" w:name="WYJBQK_xyai_xqwj_wyxm_YLLHQK_0"/>
      <w:r>
        <w:rPr>
          <w:rFonts w:hint="default" w:ascii="Times New Roman" w:hAnsi="Times New Roman" w:eastAsia="宋体" w:cs="Times New Roman"/>
          <w:kern w:val="0"/>
          <w:sz w:val="24"/>
          <w:szCs w:val="24"/>
          <w:lang w:val="en-US" w:eastAsia="zh-CN" w:bidi="ar"/>
        </w:rPr>
        <w:t>本次招标不涉及</w:t>
      </w:r>
      <w:bookmarkEnd w:id="6"/>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车（含非机动车）库及车位情况：</w:t>
      </w:r>
      <w:bookmarkStart w:id="7" w:name="WYJBQK_xyai_xqwj_wyxm_CKQK_0"/>
      <w:r>
        <w:rPr>
          <w:rFonts w:hint="default" w:ascii="Times New Roman" w:hAnsi="Times New Roman" w:eastAsia="宋体" w:cs="Times New Roman"/>
          <w:kern w:val="0"/>
          <w:sz w:val="24"/>
          <w:szCs w:val="24"/>
          <w:lang w:val="en-US" w:eastAsia="zh-CN" w:bidi="ar"/>
        </w:rPr>
        <w:t>地下车库位于B3层，南北两个区域共242个。无非机动车位。</w:t>
      </w:r>
      <w:bookmarkEnd w:id="7"/>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消防监控室：</w:t>
      </w:r>
      <w:bookmarkStart w:id="8" w:name="WYJBQK_xyai_xqwj_wyxm_XFJKS_0"/>
      <w:r>
        <w:rPr>
          <w:rFonts w:hint="default" w:ascii="Times New Roman" w:hAnsi="Times New Roman" w:eastAsia="宋体" w:cs="Times New Roman"/>
          <w:kern w:val="0"/>
          <w:sz w:val="24"/>
          <w:szCs w:val="24"/>
          <w:lang w:val="en-US" w:eastAsia="zh-CN" w:bidi="ar"/>
        </w:rPr>
        <w:t>位于BM层，值班人员需要持有中级及以上消防设施操作员证书（国家规定）。</w:t>
      </w:r>
      <w:bookmarkEnd w:id="8"/>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安防监控室：</w:t>
      </w:r>
      <w:bookmarkStart w:id="9" w:name="WYJBQK_xyai_xqwj_wyxm_AFJKS_0"/>
      <w:r>
        <w:rPr>
          <w:rFonts w:hint="default" w:ascii="Times New Roman" w:hAnsi="Times New Roman" w:eastAsia="宋体" w:cs="Times New Roman"/>
          <w:kern w:val="0"/>
          <w:sz w:val="24"/>
          <w:szCs w:val="24"/>
          <w:lang w:val="en-US" w:eastAsia="zh-CN" w:bidi="ar"/>
        </w:rPr>
        <w:t>位于BM层，值班人员需大专以上学历，会熟练使用计算机和办公软件。</w:t>
      </w:r>
      <w:bookmarkEnd w:id="9"/>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传达室：</w:t>
      </w:r>
      <w:bookmarkStart w:id="10" w:name="WYJBQK_xyai_xqwj_wyxm_CDS_0"/>
      <w:r>
        <w:rPr>
          <w:rFonts w:hint="default" w:ascii="Times New Roman" w:hAnsi="Times New Roman" w:eastAsia="宋体" w:cs="Times New Roman"/>
          <w:kern w:val="0"/>
          <w:sz w:val="24"/>
          <w:szCs w:val="24"/>
          <w:lang w:val="en-US" w:eastAsia="zh-CN" w:bidi="ar"/>
        </w:rPr>
        <w:t>本次招标不涉及</w:t>
      </w:r>
      <w:bookmarkEnd w:id="10"/>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会议室：</w:t>
      </w:r>
      <w:bookmarkStart w:id="11" w:name="WYJBQK_xyai_xqwj_wyxm_HYS_0"/>
      <w:r>
        <w:rPr>
          <w:rFonts w:hint="default" w:ascii="Times New Roman" w:hAnsi="Times New Roman" w:eastAsia="宋体" w:cs="Times New Roman"/>
          <w:kern w:val="0"/>
          <w:sz w:val="24"/>
          <w:szCs w:val="24"/>
          <w:lang w:val="en-US" w:eastAsia="zh-CN" w:bidi="ar"/>
        </w:rPr>
        <w:t>本次招标不涉及</w:t>
      </w:r>
      <w:bookmarkEnd w:id="11"/>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附属配套设施情况：</w:t>
      </w:r>
      <w:bookmarkStart w:id="12" w:name="WYJBQK_xyai_xqwj_wyxm_FSPTQK_0"/>
      <w:r>
        <w:rPr>
          <w:rFonts w:hint="default" w:ascii="Times New Roman" w:hAnsi="Times New Roman" w:eastAsia="宋体" w:cs="Times New Roman"/>
          <w:kern w:val="0"/>
          <w:sz w:val="24"/>
          <w:szCs w:val="24"/>
          <w:lang w:val="en-US" w:eastAsia="zh-CN" w:bidi="ar"/>
        </w:rPr>
        <w:t>文物库房、美术作品库房、东西广场</w:t>
      </w:r>
      <w:bookmarkEnd w:id="12"/>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b/>
          <w:bCs w:val="0"/>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设备设施情况：</w:t>
      </w:r>
      <w:bookmarkStart w:id="13" w:name="WYJBQK_xyai_xqwj_wyxm_SBSSQK_0"/>
      <w:r>
        <w:rPr>
          <w:rFonts w:hint="default" w:ascii="Times New Roman" w:hAnsi="Times New Roman" w:eastAsia="宋体" w:cs="Times New Roman"/>
          <w:kern w:val="0"/>
          <w:sz w:val="24"/>
          <w:szCs w:val="24"/>
          <w:lang w:val="en-US" w:eastAsia="zh-CN" w:bidi="ar"/>
        </w:rPr>
        <w:t>本次招标不涉及</w:t>
      </w:r>
      <w:bookmarkEnd w:id="13"/>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可提供给供应商的基本条件：</w:t>
      </w:r>
      <w:bookmarkStart w:id="14" w:name="WYJBQK_xyai_xqwj_wyxm_GYSJBTJ_0"/>
      <w:r>
        <w:rPr>
          <w:rFonts w:hint="default" w:ascii="Times New Roman" w:hAnsi="Times New Roman" w:eastAsia="宋体" w:cs="Times New Roman"/>
          <w:kern w:val="0"/>
          <w:sz w:val="24"/>
          <w:szCs w:val="24"/>
          <w:lang w:val="en-US" w:eastAsia="zh-CN" w:bidi="ar"/>
        </w:rPr>
        <w:t>采购人在馆内为保安队伍提供办公值班用房1处，保证保安队伍临时休息。</w:t>
      </w:r>
      <w:bookmarkEnd w:id="14"/>
    </w:p>
    <w:p>
      <w:pPr>
        <w:pStyle w:val="1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15" w:name="WYJBQK_xyai_xqwj_wyxm_QT_0"/>
      <w:r>
        <w:rPr>
          <w:rFonts w:hint="default" w:ascii="Times New Roman" w:hAnsi="Times New Roman" w:eastAsia="宋体" w:cs="Times New Roman"/>
          <w:kern w:val="0"/>
          <w:sz w:val="24"/>
          <w:szCs w:val="24"/>
          <w:lang w:val="en-US" w:eastAsia="zh-CN" w:bidi="ar"/>
        </w:rPr>
        <w:t>特种设备或需要供应商负责的其他工作等。</w:t>
      </w:r>
      <w:bookmarkEnd w:id="15"/>
    </w:p>
    <w:p>
      <w:pPr>
        <w:pStyle w:val="15"/>
        <w:keepNext w:val="0"/>
        <w:keepLines w:val="0"/>
        <w:pageBreakBefore w:val="0"/>
        <w:widowControl w:val="0"/>
        <w:tabs>
          <w:tab w:val="left" w:pos="525"/>
          <w:tab w:val="left" w:pos="705"/>
        </w:tabs>
        <w:kinsoku/>
        <w:wordWrap/>
        <w:overflowPunct/>
        <w:topLinePunct w:val="0"/>
        <w:autoSpaceDE/>
        <w:autoSpaceDN/>
        <w:bidi w:val="0"/>
        <w:adjustRightInd/>
        <w:snapToGrid w:val="0"/>
        <w:spacing w:line="240" w:lineRule="auto"/>
        <w:ind w:firstLine="481" w:firstLineChars="200"/>
        <w:textAlignment w:val="auto"/>
        <w:rPr>
          <w:rFonts w:hint="default" w:ascii="Times New Roman" w:hAnsi="Times New Roman" w:eastAsia="宋体" w:cs="Times New Roman"/>
          <w:b/>
          <w:sz w:val="24"/>
          <w:szCs w:val="24"/>
        </w:rPr>
      </w:pPr>
    </w:p>
    <w:p>
      <w:pPr>
        <w:pStyle w:val="15"/>
        <w:keepNext w:val="0"/>
        <w:keepLines w:val="0"/>
        <w:pageBreakBefore w:val="0"/>
        <w:widowControl w:val="0"/>
        <w:tabs>
          <w:tab w:val="left" w:pos="525"/>
          <w:tab w:val="left" w:pos="705"/>
        </w:tabs>
        <w:kinsoku/>
        <w:wordWrap/>
        <w:overflowPunct/>
        <w:topLinePunct w:val="0"/>
        <w:autoSpaceDE/>
        <w:autoSpaceDN/>
        <w:bidi w:val="0"/>
        <w:adjustRightInd/>
        <w:snapToGrid w:val="0"/>
        <w:spacing w:line="240" w:lineRule="auto"/>
        <w:ind w:firstLine="481"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服务总体性要求</w:t>
      </w:r>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物业服务内容：</w:t>
      </w:r>
      <w:bookmarkStart w:id="16" w:name="物业服务总体性要求_xyai_xqwj_wyxm_WYFWNR_0"/>
      <w:r>
        <w:rPr>
          <w:rFonts w:hint="default" w:ascii="Times New Roman" w:hAnsi="Times New Roman" w:eastAsia="宋体" w:cs="Times New Roman"/>
          <w:kern w:val="0"/>
          <w:sz w:val="24"/>
          <w:szCs w:val="24"/>
          <w:lang w:val="en-US" w:eastAsia="zh-CN" w:bidi="ar"/>
        </w:rPr>
        <w:t>主要负责单位安全</w:t>
      </w:r>
      <w:r>
        <w:rPr>
          <w:rFonts w:hint="eastAsia" w:ascii="Times New Roman" w:hAnsi="Times New Roman" w:eastAsia="宋体" w:cs="Times New Roman"/>
          <w:kern w:val="0"/>
          <w:sz w:val="24"/>
          <w:szCs w:val="24"/>
          <w:lang w:val="en-US" w:eastAsia="zh-CN" w:bidi="ar"/>
        </w:rPr>
        <w:t>秩序</w:t>
      </w:r>
      <w:r>
        <w:rPr>
          <w:rFonts w:hint="default" w:ascii="Times New Roman" w:hAnsi="Times New Roman" w:eastAsia="宋体" w:cs="Times New Roman"/>
          <w:kern w:val="0"/>
          <w:sz w:val="24"/>
          <w:szCs w:val="24"/>
          <w:lang w:val="en-US" w:eastAsia="zh-CN" w:bidi="ar"/>
        </w:rPr>
        <w:t>服务（工作内容根据采购人需要可进行调整），主要范围包括：</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1.各出入口安全值守工作，维护大门和楼门口秩序。</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2.外围护栏及雕塑看护工作。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3.停车场值班室、中控室、消控室安全值守工作。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4.文物库房、美术库房、临时施工现场看护工作。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5.担任微型消防站工作，做好突发事件应急处置工作。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6.升降国旗。</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7.重要会议、重大活动等临时现场安保。</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8.馆内安排的其他临时工作。</w:t>
      </w:r>
      <w:bookmarkEnd w:id="16"/>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报价要求：</w:t>
      </w:r>
      <w:bookmarkStart w:id="17" w:name="物业服务总体性要求_xyai_xqwj_wyxm_BJYQ_0"/>
      <w:r>
        <w:rPr>
          <w:rFonts w:hint="default" w:ascii="Times New Roman" w:hAnsi="Times New Roman" w:eastAsia="宋体" w:cs="Times New Roman"/>
          <w:kern w:val="0"/>
          <w:sz w:val="24"/>
          <w:szCs w:val="24"/>
          <w:lang w:val="en-US" w:eastAsia="zh-CN" w:bidi="ar"/>
        </w:rPr>
        <w:t>服务项目的费用实行包干制（包括工资、各类临时加班）。报价需满足国家、行业或北京市相关规范的所有内容。党史展览馆不另行支付规定时间人数以内的其他费用。</w:t>
      </w:r>
      <w:bookmarkEnd w:id="17"/>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物业服务人员要求：</w:t>
      </w:r>
      <w:bookmarkStart w:id="18" w:name="PO_物业服务总体性要求_xyai_xqwj_wyxm_WYFWRYYQ_0"/>
      <w:r>
        <w:rPr>
          <w:rFonts w:hint="default" w:ascii="Times New Roman" w:hAnsi="Times New Roman" w:eastAsia="宋体" w:cs="Times New Roman"/>
          <w:kern w:val="0"/>
          <w:sz w:val="24"/>
          <w:szCs w:val="24"/>
          <w:lang w:val="en-US" w:eastAsia="zh-CN" w:bidi="ar"/>
        </w:rPr>
        <w:t>人员数量：本项目服务人数100人。</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人员要求：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管理人员3人，驻点项目经理、安保主管、消防主管各1人。遵守国家法律、法规，无刑事犯罪及处罚记录，政审合格。年龄在25-45岁之间。身体健康，具备相应的工作能力，能满足工作岗位的要求。服从招标方的工作安排，遵守各项管理规定，负责保安业务培训。不能随意更换，如特殊原因更换，须经招标方确认。</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保安人员97人（男队员91人，女队员6人）。（1）身体健康，年龄在18—30周岁之间，高中以上学历；身高不低于1.70米，中共党员、转业军人比例分别不少于10%，持有保安员证。女队员身高不低于1.65米，负责人员安检工作，持有安检员证。（2）中控室值班保安6人，大专以上学历，会熟练使用计算机和办公软件。消控值班保安6人，需持有中级及以上消防设施操作员证书（国家规定）；微型消防站保安10人，须是退伍军人或退役消防员。所有保安员需具有公安机关核发的保安员从业资格证。（3）遵守国家法律、法规，无刑事犯罪及处罚记录。（4）服从招标方工作安排，遵守相关管理规定。（5）具备相应的工作能力，能满足工作岗位的要求。能够通过采购人的各项业务知识培训及考核。（6）承诺合同期内每月人员更换率不超过总人数的10%。</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3.人员政审要求：所有人员在上岗前均需提供健康证、户籍地公安机关（暂住证公安机关）政审证明，非北京户口需提供居住证。</w:t>
      </w:r>
      <w:bookmarkEnd w:id="18"/>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劳动安全要求：</w:t>
      </w:r>
      <w:bookmarkStart w:id="19" w:name="物业服务总体性要求_xyai_xqwj_wyxm_LDAQYQ_0"/>
      <w:r>
        <w:rPr>
          <w:rFonts w:hint="default" w:ascii="Times New Roman" w:hAnsi="Times New Roman" w:eastAsia="宋体" w:cs="Times New Roman"/>
          <w:kern w:val="0"/>
          <w:sz w:val="24"/>
          <w:szCs w:val="24"/>
          <w:lang w:val="en-US" w:eastAsia="zh-CN" w:bidi="ar"/>
        </w:rPr>
        <w:t>供应商负责必须建立、健全劳动安全卫生制度，严格执行国家劳动安全卫生规程和标准，对下属员工进行劳动安全卫生教育，防治劳动过程中的事故，减少职业危害，安全卫生设施必须符合国家规定的标准。供应商必须为劳动者提供符合国家规定的劳动安全卫生条件和必要的劳动防护用品，对从事有职业危害作业的劳动者应当定期进行健康检查。员工在劳动过程中必须严格遵守安全操作规程，员工意外伤害保险由供应商负责，出现任何意外伤害事故责任主体为供应商。</w:t>
      </w:r>
      <w:bookmarkEnd w:id="19"/>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保密工作要求：</w:t>
      </w:r>
      <w:bookmarkStart w:id="20" w:name="物业服务总体性要求_xyai_xqwj_wyxm_BMGZYQ_0"/>
      <w:r>
        <w:rPr>
          <w:rFonts w:hint="default" w:ascii="Times New Roman" w:hAnsi="Times New Roman" w:eastAsia="宋体" w:cs="Times New Roman"/>
          <w:kern w:val="0"/>
          <w:sz w:val="24"/>
          <w:szCs w:val="24"/>
          <w:lang w:val="en-US" w:eastAsia="zh-CN" w:bidi="ar"/>
        </w:rPr>
        <w:t>供应商应遵守采购人保密规定，本项目服务人员应按照采购人有关部门要求签订保密协议，对知悉、获取的采购人任何信息、资料等均有保密义务，不得转告、传送和持有。同时应承担违反保密规定的法律责任与经济赔偿责任。供应商须对本项目服务人员进行经常性保密教育。</w:t>
      </w:r>
      <w:bookmarkEnd w:id="20"/>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零星小修：</w:t>
      </w:r>
      <w:bookmarkStart w:id="21" w:name="物业服务总体性要求_xyai_xqwj_wyxm_LXXX_0"/>
      <w:r>
        <w:rPr>
          <w:rFonts w:hint="default" w:ascii="Times New Roman" w:hAnsi="Times New Roman" w:eastAsia="宋体" w:cs="Times New Roman"/>
          <w:kern w:val="0"/>
          <w:sz w:val="24"/>
          <w:szCs w:val="24"/>
          <w:lang w:val="en-US" w:eastAsia="zh-CN" w:bidi="ar"/>
        </w:rPr>
        <w:t>本次招标不涉及</w:t>
      </w:r>
      <w:bookmarkEnd w:id="21"/>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低值易耗品：</w:t>
      </w:r>
      <w:bookmarkStart w:id="22" w:name="物业服务总体性要求_xyai_xqwj_wyxm_DZYHP_0"/>
      <w:r>
        <w:rPr>
          <w:rFonts w:hint="default" w:ascii="Times New Roman" w:hAnsi="Times New Roman" w:eastAsia="宋体" w:cs="Times New Roman"/>
          <w:kern w:val="0"/>
          <w:sz w:val="24"/>
          <w:szCs w:val="24"/>
          <w:lang w:val="en-US" w:eastAsia="zh-CN" w:bidi="ar"/>
        </w:rPr>
        <w:t>本次招标不涉及</w:t>
      </w:r>
      <w:bookmarkEnd w:id="22"/>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供应商须承担的其他费用：</w:t>
      </w:r>
      <w:bookmarkStart w:id="23" w:name="物业服务总体性要求_xyai_xqwj_wyxm_GYSCDQTFY_0"/>
      <w:r>
        <w:rPr>
          <w:rFonts w:hint="default" w:ascii="Times New Roman" w:hAnsi="Times New Roman" w:eastAsia="宋体" w:cs="Times New Roman"/>
          <w:kern w:val="0"/>
          <w:sz w:val="24"/>
          <w:szCs w:val="24"/>
          <w:lang w:val="en-US" w:eastAsia="zh-CN" w:bidi="ar"/>
        </w:rPr>
        <w:t>1.供应商在服务期间，自行解决安保人员的食、宿、服装、交通、培训等事宜。供应商应选择距离较近或公共交通较为便利的地点安排人员宿舍，以保证安保人员合理通勤时间。</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2.供应商提供上岗服装和标识样式，要求统一为标准制式服装，款式分别为冬、夏各2套，具体情况双方协商确定。</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3.采购人在馆内为保安队伍提供办公值班用房1处，保证保安队伍临时休息。</w:t>
      </w:r>
      <w:bookmarkEnd w:id="23"/>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物业服务设备要求：</w:t>
      </w:r>
      <w:bookmarkStart w:id="24" w:name="物业服务总体性要求_xyai_xqwj_wyxm_WYFWSBYQ_0"/>
      <w:r>
        <w:rPr>
          <w:rFonts w:hint="default" w:ascii="Times New Roman" w:hAnsi="Times New Roman" w:eastAsia="宋体" w:cs="Times New Roman"/>
          <w:kern w:val="0"/>
          <w:sz w:val="24"/>
          <w:szCs w:val="24"/>
          <w:lang w:val="en-US" w:eastAsia="zh-CN" w:bidi="ar"/>
        </w:rPr>
        <w:t>明确由供应商提供的物业服务设备设施。</w:t>
      </w:r>
      <w:bookmarkEnd w:id="24"/>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突发事件应对要求：</w:t>
      </w:r>
      <w:bookmarkStart w:id="25" w:name="物业服务总体性要求_xyai_xqwj_wyxm_TFSJYDYQ_0"/>
      <w:r>
        <w:rPr>
          <w:rFonts w:hint="default" w:ascii="Times New Roman" w:hAnsi="Times New Roman" w:eastAsia="宋体" w:cs="Times New Roman"/>
          <w:kern w:val="0"/>
          <w:sz w:val="24"/>
          <w:szCs w:val="24"/>
          <w:lang w:val="en-US" w:eastAsia="zh-CN" w:bidi="ar"/>
        </w:rPr>
        <w:t>针对自然灾害（地震、洪涝、暴风雨雪等）、水、电、气、暖、设备及安全等方面紧急、突发事件建立应对预案。</w:t>
      </w:r>
      <w:bookmarkEnd w:id="25"/>
    </w:p>
    <w:p>
      <w:pPr>
        <w:pStyle w:val="1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480" w:firstLineChars="200"/>
        <w:jc w:val="both"/>
        <w:textAlignment w:val="auto"/>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26" w:name="物业服务总体性要求_xyai_xqwj_wyxm_WYFWZTXYQ_0"/>
      <w:r>
        <w:rPr>
          <w:rFonts w:hint="default" w:ascii="Times New Roman" w:hAnsi="Times New Roman" w:eastAsia="宋体" w:cs="Times New Roman"/>
          <w:kern w:val="0"/>
          <w:sz w:val="24"/>
          <w:szCs w:val="24"/>
          <w:lang w:val="en-US" w:eastAsia="zh-CN" w:bidi="ar"/>
        </w:rPr>
        <w:t>无</w:t>
      </w:r>
      <w:bookmarkEnd w:id="26"/>
    </w:p>
    <w:p>
      <w:pPr>
        <w:pStyle w:val="21"/>
        <w:keepNext w:val="0"/>
        <w:keepLines w:val="0"/>
        <w:pageBreakBefore w:val="0"/>
        <w:widowControl w:val="0"/>
        <w:kinsoku/>
        <w:wordWrap/>
        <w:overflowPunct/>
        <w:topLinePunct w:val="0"/>
        <w:autoSpaceDE/>
        <w:autoSpaceDN/>
        <w:bidi w:val="0"/>
        <w:adjustRightInd/>
        <w:snapToGrid w:val="0"/>
        <w:spacing w:line="240" w:lineRule="auto"/>
        <w:ind w:firstLine="481" w:firstLineChars="200"/>
        <w:textAlignment w:val="auto"/>
        <w:rPr>
          <w:rFonts w:hint="default" w:ascii="Times New Roman" w:hAnsi="Times New Roman" w:eastAsia="宋体" w:cs="Times New Roman"/>
          <w:b/>
          <w:sz w:val="24"/>
          <w:szCs w:val="24"/>
        </w:rPr>
      </w:pPr>
    </w:p>
    <w:p>
      <w:pPr>
        <w:pStyle w:val="21"/>
        <w:keepNext w:val="0"/>
        <w:keepLines w:val="0"/>
        <w:pageBreakBefore w:val="0"/>
        <w:widowControl w:val="0"/>
        <w:kinsoku/>
        <w:wordWrap/>
        <w:overflowPunct/>
        <w:topLinePunct w:val="0"/>
        <w:autoSpaceDE/>
        <w:autoSpaceDN/>
        <w:bidi w:val="0"/>
        <w:adjustRightInd/>
        <w:snapToGrid w:val="0"/>
        <w:spacing w:line="240" w:lineRule="auto"/>
        <w:ind w:firstLine="481"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秩序（保安）服务</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服务质量要求：</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1.投标服务的保安公司要坚持政治标准，确保安保人员政治合格。保安队伍不得为挂靠性质的私人队伍。保证完成采购人</w:t>
      </w:r>
      <w:bookmarkStart w:id="30" w:name="_GoBack"/>
      <w:bookmarkEnd w:id="30"/>
      <w:r>
        <w:rPr>
          <w:rFonts w:hint="default" w:ascii="Times New Roman" w:hAnsi="Times New Roman" w:eastAsia="宋体" w:cs="Times New Roman"/>
          <w:sz w:val="24"/>
          <w:szCs w:val="24"/>
          <w:lang w:val="en-US" w:eastAsia="zh-CN"/>
        </w:rPr>
        <w:t>提出的安保服务及其他工作安排；保证提供足够、合格的、国家认可资质的安保人员。</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2.对采购人提出的管理区域及确认的目标、区域按照要求实施安全保卫，做好防火、防盗、防恐怖、防破坏和外围警戒工作，维护服务目标正常工作秩序。</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3.为确保服务质量，供应商按采购人的工作要求，对所派出的安保人员和安检人员进行系统的岗前培训和管理，统一着装，规范服务。上岗服装和标识由采购人指定款式、颜色等，服装费用由保安公司自理。</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4.服务人员工作中所需的相关执勤器材由采购人提供。服务期满后相关执勤器材由采购人收回。采购人提供的所有相关执勤器材，投标人应妥善保管、使用，如发生非正常损坏，将由中标方照价赔偿。</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5.供应商必须按照国家的法律法规给予安保人员相应的待遇。</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 供应商应按照《中华人民共和国劳动法》的相关规定以及北京市有关要求，与服务人员签订劳动合同。安保人员在法定工作时间内开展安保服务，供应商支付给安保人员的工资不得低于北京市规定的最低工资标准，缴纳国家规定必须购买的社会保险费用和必要的商业保险。</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供应商负责安保人员的思想教育、业务培训等日常管理和违纪问题的处理。供应商应对保安服务人员进行严格管理，保安服务人员的病、事假审批及人事变动必须经过项目经理同意，并出具书面证明材料，必要时向采购人主管部门报备。</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8.服务合同期满或中途被撤回的服务人员离岗时，要履行相关离职手续，并报采购人认可，不得擅自频繁更换人员。</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9.供应商对采购人提出的不称职的安保人员，应在提出调换三日内完成更换。</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10.供应商应按投标承诺履行职责，如未能在规定时限内实现承诺内容，采购人有权予以扣款及其他处罚。</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11.采购人每年对供应商的服务进行考核，考核不合格将给与相应处罚和终止服务合同。</w:t>
      </w:r>
    </w:p>
    <w:p>
      <w:pPr>
        <w:pStyle w:val="21"/>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pPr>
      <w:r>
        <w:rPr>
          <w:rFonts w:hint="default" w:ascii="Times New Roman" w:hAnsi="Times New Roman" w:eastAsia="宋体" w:cs="Times New Roman"/>
          <w:sz w:val="24"/>
          <w:szCs w:val="24"/>
          <w:lang w:val="en-US" w:eastAsia="zh-CN"/>
        </w:rPr>
        <w:t>12.供应商应成立接管小组，由公司领导、项目经理、主管等3人以上组成。</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sz w:val="32"/>
          <w:szCs w:val="32"/>
        </w:rPr>
      </w:pP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sz w:val="32"/>
          <w:szCs w:val="32"/>
        </w:rPr>
      </w:pPr>
      <w:r>
        <w:rPr>
          <w:rFonts w:hint="eastAsia" w:ascii="Times New Roman" w:hAnsi="Times New Roman" w:eastAsia="宋体" w:cs="Times New Roman"/>
          <w:b/>
          <w:sz w:val="32"/>
          <w:szCs w:val="32"/>
        </w:rPr>
        <w:t>三、</w:t>
      </w:r>
      <w:r>
        <w:rPr>
          <w:rFonts w:hint="default" w:ascii="Times New Roman" w:hAnsi="Times New Roman" w:eastAsia="宋体" w:cs="Times New Roman"/>
          <w:b/>
          <w:sz w:val="32"/>
          <w:szCs w:val="32"/>
        </w:rPr>
        <w:t>人员配备要求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242"/>
        <w:gridCol w:w="544"/>
        <w:gridCol w:w="5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部门</w:t>
            </w:r>
          </w:p>
        </w:tc>
        <w:tc>
          <w:tcPr>
            <w:tcW w:w="13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岗位</w:t>
            </w:r>
          </w:p>
        </w:tc>
        <w:tc>
          <w:tcPr>
            <w:tcW w:w="5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人数</w:t>
            </w:r>
          </w:p>
        </w:tc>
        <w:tc>
          <w:tcPr>
            <w:tcW w:w="61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bookmarkStart w:id="27" w:name="rypzqy_rypzqy_table_0"/>
            <w:bookmarkEnd w:id="27"/>
            <w:r>
              <w:rPr>
                <w:rFonts w:hint="default" w:ascii="Times New Roman" w:hAnsi="Times New Roman" w:eastAsia="宋体" w:cs="Times New Roman"/>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管理岗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3个岗位，项目经理、安保主管、消防主管各1人。消防主管具有建（构）筑物消防员证或消防工程师证。依据馆方相关规定管理好保安队伍，带领保安完成招标方交给的各项任务。</w:t>
            </w:r>
            <w:r>
              <w:rPr>
                <w:u w:color="auto"/>
              </w:rPr>
              <w:br w:type="textWrapping"/>
            </w:r>
            <w:r>
              <w:rPr>
                <w:u w:color="auto"/>
              </w:rPr>
              <w:t>评价打分的要求：</w:t>
            </w:r>
            <w:r>
              <w:rPr>
                <w:u w:color="auto"/>
              </w:rPr>
              <w:br w:type="textWrapping"/>
            </w:r>
            <w:r>
              <w:rPr>
                <w:u w:color="auto"/>
              </w:rPr>
              <w:t>（1）具有大专以上学历；</w:t>
            </w:r>
            <w:r>
              <w:rPr>
                <w:u w:color="auto"/>
              </w:rPr>
              <w:br w:type="textWrapping"/>
            </w:r>
            <w:r>
              <w:rPr>
                <w:u w:color="auto"/>
              </w:rPr>
              <w:t>（2）具有3年及以上保安项目管理经验；</w:t>
            </w:r>
            <w:r>
              <w:rPr>
                <w:u w:color="auto"/>
              </w:rPr>
              <w:br w:type="textWrapping"/>
            </w:r>
            <w:r>
              <w:rPr>
                <w:u w:color="auto"/>
              </w:rPr>
              <w:t>（3）项目经理、安保主管具有四级及以上保安员职业资格证书</w:t>
            </w:r>
            <w:r>
              <w:rPr>
                <w:rFonts w:hint="eastAsia"/>
                <w:u w:color="auto"/>
                <w:lang w:eastAsia="zh-CN"/>
              </w:rPr>
              <w:t>；</w:t>
            </w:r>
            <w:r>
              <w:rPr>
                <w:highlight w:val="none"/>
                <w:u w:color="auto"/>
              </w:rPr>
              <w:t>消防主管</w:t>
            </w:r>
            <w:r>
              <w:rPr>
                <w:rFonts w:hint="eastAsia"/>
                <w:highlight w:val="none"/>
                <w:u w:color="auto"/>
                <w:lang w:eastAsia="zh-CN"/>
              </w:rPr>
              <w:t>具有中级以上消防设施操作员证</w:t>
            </w:r>
            <w:r>
              <w:rPr>
                <w:u w:color="auto"/>
              </w:rPr>
              <w:t>；</w:t>
            </w:r>
            <w:r>
              <w:rPr>
                <w:u w:color="auto"/>
              </w:rPr>
              <w:br w:type="textWrapping"/>
            </w:r>
            <w:r>
              <w:rPr>
                <w:u w:color="auto"/>
              </w:rPr>
              <w:t>（4）是中共党员。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序厅岗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8</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白班岗，4个岗位。开馆期间早8时至清场后工作。任务：维护进出秩序、防止拥挤踩踏，防止观众进入办公区。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微型消防站岗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20</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24小时岗，10个岗位。担任消防应急队员和应急处突队员，执行《中国共产党历史展览馆突发事件应急预案》，做好处置救援工作。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消控室岗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6</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24小时岗，2个岗位。发现情况及时报告，落实岗位管理规定，确保责任区域安全。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中控室岗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6</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24小时岗，2个岗位。发现情况及时报告，落实岗位管理规定，确保责任区域安全。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车辆值班室岗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6</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24小时岗，2个岗位。发现情况及时报告，落实岗位管理规定，确保责任区域安全。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文物库房岗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6</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24小时岗，2个岗位。检查进出库房人员证件，进行安检，做好出入登记。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美术作品库房岗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24小时岗，1个岗位。检查进出库房人员证件，进行安检，做好出入登记。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北侧大门岗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24小时岗，1个岗位。围墙岗位防止翻越围栏、防止投掷物品、防止张贴非法宣传品等。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西北角护栏岗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24小时岗，1个岗位。围墙岗位防止翻越围栏、防止投掷物品、防止张贴非法宣传品等。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西广场北侧雕塑岗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24小时岗，1个岗位。雕塑看护岗位防止观众触摸、攀爬、毁坏雕塑。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西广场南侧雕塑岗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24小时岗，1个岗位。雕塑看护岗位防止观众触摸、攀爬、毁坏雕塑。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西广场西侧护栏岗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24小时岗，1个岗位。围墙岗位防止翻越围栏、防止投掷物品、防止张贴非法宣传品等。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西广场南侧廊桥岗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24小时岗，1个岗位。围墙岗位防止翻越围栏、防止投掷物品、防止张贴非法宣传品等。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南广场岗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24小时岗，1个岗位。雕塑看护岗位防止观众触摸、攀爬、毁坏雕塑。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东广场岗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3</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24小时岗，1个岗位。雕塑看护岗位防止观众触摸、攀爬、毁坏雕塑。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东北门岗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6</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24小时岗，2个岗位。出入口岗位查验进出人员、车辆证件，无证人、车不得进馆等。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安检岗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6</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24小时岗，2个岗位。出入口岗位查验进出人员并安检，查验车辆证件，无证人、车不得进馆等。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9"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外围安保</w:t>
            </w:r>
          </w:p>
        </w:tc>
        <w:tc>
          <w:tcPr>
            <w:tcW w:w="13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东南门岗</w:t>
            </w:r>
          </w:p>
        </w:tc>
        <w:tc>
          <w:tcPr>
            <w:tcW w:w="551"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6</w:t>
            </w:r>
          </w:p>
        </w:tc>
        <w:tc>
          <w:tcPr>
            <w:tcW w:w="616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u w:color="auto"/>
              </w:rPr>
              <w:t>24小时岗，2个岗位。出入口岗位查验进出人员、车辆证件，无证人、车不得进馆等。</w:t>
            </w:r>
          </w:p>
        </w:tc>
      </w:tr>
    </w:tbl>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总计：</w:t>
      </w:r>
      <w:bookmarkStart w:id="28" w:name="rypzqy_xyai_xqwj_rypzyq_RYZS_0"/>
      <w:r>
        <w:rPr>
          <w:rFonts w:hint="default" w:ascii="Times New Roman" w:hAnsi="Times New Roman" w:eastAsia="宋体" w:cs="Times New Roman"/>
          <w:sz w:val="24"/>
          <w:szCs w:val="24"/>
        </w:rPr>
        <w:t>100</w:t>
      </w:r>
      <w:bookmarkEnd w:id="28"/>
      <w:r>
        <w:rPr>
          <w:rFonts w:hint="default" w:ascii="Times New Roman" w:hAnsi="Times New Roman" w:eastAsia="宋体" w:cs="Times New Roman"/>
          <w:sz w:val="24"/>
          <w:szCs w:val="24"/>
          <w:lang w:val="en-US" w:eastAsia="zh-CN"/>
        </w:rPr>
        <w:t>人</w:t>
      </w:r>
    </w:p>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pPr>
      <w:r>
        <w:rPr>
          <w:rFonts w:hint="default" w:ascii="Times New Roman" w:hAnsi="Times New Roman" w:eastAsia="宋体" w:cs="Times New Roman"/>
          <w:sz w:val="24"/>
          <w:szCs w:val="24"/>
          <w:lang w:val="en-US" w:eastAsia="zh-CN"/>
        </w:rPr>
        <w:t>备注：</w:t>
      </w:r>
      <w:bookmarkStart w:id="29" w:name="PO_rypzqy_xyai_xqwj_rypzyq_BEIZ_0"/>
      <w:r>
        <w:rPr>
          <w:rFonts w:hint="default" w:ascii="Times New Roman" w:hAnsi="Times New Roman" w:eastAsia="宋体" w:cs="Times New Roman"/>
          <w:sz w:val="24"/>
          <w:szCs w:val="24"/>
          <w:lang w:val="en-US" w:eastAsia="zh-CN"/>
        </w:rPr>
        <w:t>无</w:t>
      </w:r>
      <w:bookmarkEnd w:id="29"/>
    </w:p>
    <w:p>
      <w:pPr>
        <w:pStyle w:val="2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642" w:firstLineChars="200"/>
        <w:jc w:val="center"/>
        <w:textAlignment w:val="auto"/>
        <w:rPr>
          <w:rFonts w:hint="default" w:ascii="Times New Roman" w:hAnsi="Times New Roman" w:eastAsia="宋体" w:cs="Times New Roman"/>
          <w:b/>
          <w:bCs/>
          <w:kern w:val="0"/>
          <w:sz w:val="32"/>
          <w:szCs w:val="32"/>
          <w:lang w:eastAsia="zh-CN"/>
        </w:rPr>
      </w:pPr>
      <w:r>
        <w:rPr>
          <w:rFonts w:hint="default" w:ascii="Times New Roman" w:hAnsi="Times New Roman" w:eastAsia="宋体" w:cs="Times New Roman"/>
          <w:b/>
          <w:bCs/>
          <w:kern w:val="0"/>
          <w:sz w:val="32"/>
          <w:szCs w:val="32"/>
          <w:lang w:val="en-US" w:eastAsia="zh-CN"/>
        </w:rPr>
        <w:t>四</w:t>
      </w:r>
      <w:r>
        <w:rPr>
          <w:rFonts w:hint="default" w:ascii="Times New Roman" w:hAnsi="Times New Roman" w:eastAsia="宋体" w:cs="Times New Roman"/>
          <w:b/>
          <w:bCs/>
          <w:kern w:val="0"/>
          <w:sz w:val="32"/>
          <w:szCs w:val="32"/>
          <w:lang w:eastAsia="zh-CN"/>
        </w:rPr>
        <w:t>、</w:t>
      </w:r>
      <w:r>
        <w:rPr>
          <w:rFonts w:hint="default" w:ascii="Times New Roman" w:hAnsi="Times New Roman" w:eastAsia="宋体" w:cs="Times New Roman"/>
          <w:b/>
          <w:bCs/>
          <w:kern w:val="0"/>
          <w:sz w:val="32"/>
          <w:szCs w:val="32"/>
          <w:lang w:val="en-US" w:eastAsia="zh-CN"/>
        </w:rPr>
        <w:t>监督考核</w:t>
      </w:r>
      <w:r>
        <w:rPr>
          <w:rFonts w:hint="default" w:ascii="Times New Roman" w:hAnsi="Times New Roman" w:eastAsia="宋体" w:cs="Times New Roman"/>
          <w:b/>
          <w:bCs/>
          <w:kern w:val="0"/>
          <w:sz w:val="32"/>
          <w:szCs w:val="32"/>
          <w:lang w:eastAsia="zh-CN"/>
        </w:rPr>
        <w:t>要求</w:t>
      </w:r>
    </w:p>
    <w:p>
      <w:pPr>
        <w:pStyle w:val="2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w:t>
      </w:r>
      <w:r>
        <w:rPr>
          <w:rFonts w:hint="default" w:ascii="Times New Roman" w:hAnsi="Times New Roman" w:eastAsia="宋体" w:cs="Times New Roman"/>
          <w:sz w:val="24"/>
          <w:szCs w:val="24"/>
          <w:lang w:eastAsia="zh-CN"/>
        </w:rPr>
        <w:t>根据采购文件和合同约定对供应商进行监督考核，</w:t>
      </w:r>
      <w:r>
        <w:rPr>
          <w:rFonts w:hint="default" w:ascii="Times New Roman" w:hAnsi="Times New Roman" w:eastAsia="宋体" w:cs="Times New Roman"/>
          <w:sz w:val="24"/>
          <w:szCs w:val="24"/>
        </w:rPr>
        <w:t>供应商须</w:t>
      </w:r>
      <w:r>
        <w:rPr>
          <w:rFonts w:hint="default" w:ascii="Times New Roman" w:hAnsi="Times New Roman" w:eastAsia="宋体" w:cs="Times New Roman"/>
          <w:sz w:val="24"/>
          <w:szCs w:val="24"/>
          <w:lang w:eastAsia="zh-CN"/>
        </w:rPr>
        <w:t>积极</w:t>
      </w:r>
      <w:r>
        <w:rPr>
          <w:rFonts w:hint="default" w:ascii="Times New Roman" w:hAnsi="Times New Roman" w:eastAsia="宋体" w:cs="Times New Roman"/>
          <w:sz w:val="24"/>
          <w:szCs w:val="24"/>
        </w:rPr>
        <w:t>配合。</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供应商须</w:t>
      </w:r>
      <w:r>
        <w:rPr>
          <w:rFonts w:hint="default" w:ascii="Times New Roman" w:hAnsi="Times New Roman" w:eastAsia="宋体" w:cs="Times New Roman"/>
          <w:sz w:val="24"/>
          <w:szCs w:val="24"/>
          <w:lang w:eastAsia="zh-CN"/>
        </w:rPr>
        <w:t>按照本项目采购文件要求和响应文件承诺进行履约</w:t>
      </w:r>
      <w:r>
        <w:rPr>
          <w:rFonts w:hint="default" w:ascii="Times New Roman" w:hAnsi="Times New Roman" w:eastAsia="宋体" w:cs="Times New Roman"/>
          <w:sz w:val="24"/>
          <w:szCs w:val="24"/>
        </w:rPr>
        <w:t>，确保服务水准达到采购人要求。</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供应商须按照合同约定人数，对人员进行考勤管理，定期向采购人报告人员情况，接受采购人检查。</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不得以采购人的任何名义从事经营等其他活动,不得将本项目约定履行的工作内容整体或分包给第三方完成，若供应商确需第三方提供消杀、高空作业等专项服务，第三方提供服务期间劳动关系及安全生产责任由供应商全权负责。本项目物业服务人员不得在其他项目兼职。</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供应商所属人员如出现任何事故及法律风险，相关责任由供应商自行承担。</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采购人对服务保障不</w:t>
      </w:r>
      <w:r>
        <w:rPr>
          <w:rFonts w:hint="default" w:ascii="Times New Roman" w:hAnsi="Times New Roman" w:eastAsia="宋体" w:cs="Times New Roman"/>
          <w:sz w:val="24"/>
          <w:szCs w:val="24"/>
          <w:lang w:eastAsia="zh-CN"/>
        </w:rPr>
        <w:t>到位</w:t>
      </w:r>
      <w:r>
        <w:rPr>
          <w:rFonts w:hint="default" w:ascii="Times New Roman" w:hAnsi="Times New Roman" w:eastAsia="宋体" w:cs="Times New Roman"/>
          <w:sz w:val="24"/>
          <w:szCs w:val="24"/>
        </w:rPr>
        <w:t>、责任心不强或出现明显失误造成负面影响的员工，有权提出调整工作岗位或更换人员，供应商必须按采购人要求在</w:t>
      </w:r>
      <w:r>
        <w:rPr>
          <w:rFonts w:hint="default" w:ascii="Times New Roman" w:hAnsi="Times New Roman" w:eastAsia="宋体" w:cs="Times New Roman"/>
          <w:sz w:val="24"/>
          <w:szCs w:val="24"/>
          <w:u w:val="single"/>
        </w:rPr>
        <w:t>5日</w:t>
      </w:r>
      <w:r>
        <w:rPr>
          <w:rFonts w:hint="default" w:ascii="Times New Roman" w:hAnsi="Times New Roman" w:eastAsia="宋体" w:cs="Times New Roman"/>
          <w:sz w:val="24"/>
          <w:szCs w:val="24"/>
        </w:rPr>
        <w:t>内调整完毕。</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采购人对供应商主管及以上岗位员工、重要工作岗位员工审核把关，采购人同意后方可办理入职离职。如有人员变动，空缺岗位应在</w:t>
      </w:r>
      <w:r>
        <w:rPr>
          <w:rFonts w:hint="default" w:ascii="Times New Roman" w:hAnsi="Times New Roman" w:eastAsia="宋体" w:cs="Times New Roman"/>
          <w:sz w:val="24"/>
          <w:szCs w:val="24"/>
          <w:u w:val="single"/>
        </w:rPr>
        <w:t>5日</w:t>
      </w:r>
      <w:r>
        <w:rPr>
          <w:rFonts w:hint="default" w:ascii="Times New Roman" w:hAnsi="Times New Roman" w:eastAsia="宋体" w:cs="Times New Roman"/>
          <w:sz w:val="24"/>
          <w:szCs w:val="24"/>
        </w:rPr>
        <w:t>内补齐。</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采购人对供应商提供的</w:t>
      </w:r>
      <w:r>
        <w:rPr>
          <w:rFonts w:hint="default" w:ascii="Times New Roman" w:hAnsi="Times New Roman" w:eastAsia="宋体" w:cs="Times New Roman"/>
          <w:sz w:val="24"/>
          <w:szCs w:val="24"/>
          <w:lang w:eastAsia="zh-CN"/>
        </w:rPr>
        <w:t>低值</w:t>
      </w:r>
      <w:r>
        <w:rPr>
          <w:rFonts w:hint="default" w:ascii="Times New Roman" w:hAnsi="Times New Roman" w:eastAsia="宋体" w:cs="Times New Roman"/>
          <w:sz w:val="24"/>
          <w:szCs w:val="24"/>
        </w:rPr>
        <w:t>易耗品质量进行监管检查，对不符合采购人要求的，供应商须及时进行更换；供应商定期对采购人委托管理的库房进行盘点、核查，定期向采购人汇报，接受采购人监督检查。</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如检查中发现供应商服务质量达不到合同约定，或收到有效投诉，供应商须支付违约金。</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未按合同约定，违反相关纪律及安全生产要求等，对采购人造成不良影响或经济损失，供应商负责赔偿，采购人有权根据影响范围、损害程度等扣除成交供应商相应服务费、追究相关责任、并有权终止合同。</w:t>
      </w:r>
    </w:p>
    <w:p>
      <w:pPr>
        <w:pStyle w:val="28"/>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pP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采购人对供应商入职及到岗人数进行监管，如发现供应商到岗人数未满足要求，在费用结算时，按照合同约定的人力成本据实进行核减。如遇突发不可抗力原因，</w:t>
      </w:r>
      <w:r>
        <w:rPr>
          <w:rFonts w:hint="default" w:ascii="Times New Roman" w:hAnsi="Times New Roman" w:eastAsia="宋体" w:cs="Times New Roman"/>
          <w:sz w:val="24"/>
          <w:szCs w:val="24"/>
          <w:lang w:eastAsia="zh-CN"/>
        </w:rPr>
        <w:t>双方协商后</w:t>
      </w:r>
      <w:r>
        <w:rPr>
          <w:rFonts w:hint="default" w:ascii="Times New Roman" w:hAnsi="Times New Roman" w:eastAsia="宋体" w:cs="Times New Roman"/>
          <w:sz w:val="24"/>
          <w:szCs w:val="24"/>
        </w:rPr>
        <w:t>进行结算。</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642" w:firstLineChars="200"/>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宋体" w:cs="Times New Roman"/>
          <w:b/>
          <w:bCs/>
          <w:sz w:val="32"/>
          <w:szCs w:val="32"/>
          <w:lang w:eastAsia="zh-CN"/>
        </w:rPr>
        <w:t>五</w:t>
      </w:r>
      <w:r>
        <w:rPr>
          <w:rFonts w:hint="default" w:ascii="Times New Roman" w:hAnsi="Times New Roman" w:eastAsia="宋体" w:cs="Times New Roman"/>
          <w:b/>
          <w:bCs/>
          <w:sz w:val="32"/>
          <w:szCs w:val="32"/>
        </w:rPr>
        <w:t>、</w:t>
      </w:r>
      <w:r>
        <w:rPr>
          <w:rFonts w:hint="default" w:ascii="Times New Roman" w:hAnsi="Times New Roman" w:eastAsia="宋体" w:cs="Times New Roman"/>
          <w:b/>
          <w:bCs/>
          <w:sz w:val="32"/>
          <w:szCs w:val="32"/>
          <w:lang w:eastAsia="zh-CN"/>
        </w:rPr>
        <w:t>方案</w:t>
      </w:r>
      <w:r>
        <w:rPr>
          <w:rFonts w:hint="default" w:ascii="Times New Roman" w:hAnsi="Times New Roman" w:eastAsia="宋体" w:cs="Times New Roman"/>
          <w:b/>
          <w:bCs/>
          <w:sz w:val="32"/>
          <w:szCs w:val="32"/>
        </w:rPr>
        <w:t>要求</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1" w:firstLineChars="200"/>
        <w:jc w:val="left"/>
        <w:textAlignment w:val="auto"/>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w:t>
      </w:r>
      <w:r>
        <w:rPr>
          <w:rFonts w:hint="default" w:ascii="Times New Roman" w:hAnsi="Times New Roman" w:eastAsia="宋体" w:cs="Times New Roman"/>
          <w:b/>
          <w:bCs w:val="0"/>
          <w:sz w:val="24"/>
          <w:szCs w:val="24"/>
          <w:lang w:val="en-US"/>
        </w:rPr>
        <w:t xml:space="preserve"> </w:t>
      </w:r>
      <w:r>
        <w:rPr>
          <w:rFonts w:hint="default" w:ascii="Times New Roman" w:hAnsi="Times New Roman" w:eastAsia="宋体" w:cs="Times New Roman"/>
          <w:b/>
          <w:bCs w:val="0"/>
          <w:sz w:val="24"/>
          <w:szCs w:val="24"/>
          <w:lang w:eastAsia="zh-CN"/>
        </w:rPr>
        <w:t>项目实施</w:t>
      </w:r>
      <w:r>
        <w:rPr>
          <w:rFonts w:hint="default" w:ascii="Times New Roman" w:hAnsi="Times New Roman" w:eastAsia="宋体" w:cs="Times New Roman"/>
          <w:b/>
          <w:bCs w:val="0"/>
          <w:sz w:val="24"/>
          <w:szCs w:val="24"/>
        </w:rPr>
        <w:t>方案</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供应商针对本项目制定项目实施方案，内容包括：</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 针对本项目的理解和工作思路，分析可能遇到的服务重难点问题，并提出相应解决措施；</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 针对本项目的管理模式和管理机制，包括：机构设置、岗位责任制度、服务沟通机制、安全制度、考勤制度、值班制度、工作记录及档案管理（包括交接验收资料、巡视记录、投诉与处理记录、其它管理与服务活动记录）等；</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w:t>
      </w:r>
      <w:r>
        <w:rPr>
          <w:rFonts w:hint="default" w:ascii="Times New Roman" w:hAnsi="Times New Roman" w:eastAsia="宋体" w:cs="Times New Roman"/>
          <w:b w:val="0"/>
          <w:bCs w:val="0"/>
          <w:sz w:val="24"/>
          <w:szCs w:val="24"/>
          <w:lang w:val="en-US" w:eastAsia="zh-CN"/>
        </w:rPr>
        <w:t>. 针对本项目的突发事件处理方案与各类应急预案；</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val="0"/>
          <w:sz w:val="24"/>
          <w:szCs w:val="24"/>
          <w:lang w:val="en-US" w:eastAsia="zh-CN"/>
        </w:rPr>
        <w:t>. 为承接本项目所需的装备计划，包括拟投入的设备设施和低值易耗品等；</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w:t>
      </w:r>
      <w:r>
        <w:rPr>
          <w:rFonts w:hint="default" w:ascii="Times New Roman" w:hAnsi="Times New Roman" w:eastAsia="宋体" w:cs="Times New Roman"/>
          <w:b w:val="0"/>
          <w:bCs w:val="0"/>
          <w:sz w:val="24"/>
          <w:szCs w:val="24"/>
          <w:lang w:val="en-US" w:eastAsia="zh-CN"/>
        </w:rPr>
        <w:t>. 针对本项目的人员录用与考核制度，包括人员录用与考核标准、淘汰机制、量化管理方法等；</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w:t>
      </w:r>
      <w:r>
        <w:rPr>
          <w:rFonts w:hint="default" w:ascii="Times New Roman" w:hAnsi="Times New Roman" w:eastAsia="宋体" w:cs="Times New Roman"/>
          <w:b w:val="0"/>
          <w:bCs w:val="0"/>
          <w:sz w:val="24"/>
          <w:szCs w:val="24"/>
          <w:lang w:val="en-US" w:eastAsia="zh-CN"/>
        </w:rPr>
        <w:t>. 针对本项目的人员培训计划、方式、内容，包括业务培训、思想教育等；</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w:t>
      </w:r>
      <w:r>
        <w:rPr>
          <w:rFonts w:hint="default" w:ascii="Times New Roman" w:hAnsi="Times New Roman" w:eastAsia="宋体" w:cs="Times New Roman"/>
          <w:b w:val="0"/>
          <w:bCs w:val="0"/>
          <w:sz w:val="24"/>
          <w:szCs w:val="24"/>
          <w:lang w:val="en-US" w:eastAsia="zh-CN"/>
        </w:rPr>
        <w:t>. 针对本项目的人员稳定性方案，包括人员流动率承诺、人员更换管理方案、稳定性保障方案等</w:t>
      </w:r>
      <w:r>
        <w:rPr>
          <w:rFonts w:hint="eastAsia" w:ascii="Times New Roman" w:hAnsi="Times New Roman" w:eastAsia="宋体" w:cs="Times New Roman"/>
          <w:b w:val="0"/>
          <w:bCs w:val="0"/>
          <w:sz w:val="24"/>
          <w:szCs w:val="24"/>
          <w:lang w:val="en-US" w:eastAsia="zh-CN"/>
        </w:rPr>
        <w:t>；</w:t>
      </w:r>
    </w:p>
    <w:p>
      <w:pPr>
        <w:pStyle w:val="3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w:t>
      </w:r>
      <w:r>
        <w:rPr>
          <w:rFonts w:hint="default" w:ascii="Times New Roman" w:hAnsi="Times New Roman" w:eastAsia="宋体" w:cs="Times New Roman"/>
          <w:b w:val="0"/>
          <w:bCs w:val="0"/>
          <w:sz w:val="24"/>
          <w:szCs w:val="24"/>
          <w:lang w:val="en-US" w:eastAsia="zh-CN"/>
        </w:rPr>
        <w:t>. 针对本项目的保密工作方案。</w:t>
      </w:r>
    </w:p>
    <w:p>
      <w:pPr>
        <w:pStyle w:val="35"/>
        <w:keepNext w:val="0"/>
        <w:keepLines w:val="0"/>
        <w:pageBreakBefore w:val="0"/>
        <w:widowControl w:val="0"/>
        <w:kinsoku/>
        <w:wordWrap/>
        <w:overflowPunct/>
        <w:topLinePunct w:val="0"/>
        <w:autoSpaceDE/>
        <w:autoSpaceDN/>
        <w:bidi w:val="0"/>
        <w:adjustRightInd/>
        <w:snapToGrid w:val="0"/>
        <w:spacing w:line="240" w:lineRule="auto"/>
        <w:ind w:firstLine="481" w:firstLineChars="200"/>
        <w:jc w:val="left"/>
        <w:textAlignment w:val="auto"/>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w:t>
      </w:r>
      <w:r>
        <w:rPr>
          <w:rFonts w:hint="default" w:ascii="Times New Roman" w:hAnsi="Times New Roman" w:eastAsia="宋体" w:cs="Times New Roman"/>
          <w:b/>
          <w:bCs w:val="0"/>
          <w:sz w:val="24"/>
          <w:szCs w:val="24"/>
          <w:lang w:val="en-US"/>
        </w:rPr>
        <w:t xml:space="preserve"> </w:t>
      </w:r>
      <w:r>
        <w:rPr>
          <w:rFonts w:hint="eastAsia" w:ascii="Times New Roman" w:hAnsi="Times New Roman" w:eastAsia="宋体" w:cs="Times New Roman"/>
          <w:b/>
          <w:bCs w:val="0"/>
          <w:sz w:val="24"/>
          <w:szCs w:val="24"/>
          <w:lang w:eastAsia="zh-CN"/>
        </w:rPr>
        <w:t>安保服务</w:t>
      </w:r>
      <w:r>
        <w:rPr>
          <w:rFonts w:hint="default" w:ascii="Times New Roman" w:hAnsi="Times New Roman" w:eastAsia="宋体" w:cs="Times New Roman"/>
          <w:b/>
          <w:bCs w:val="0"/>
          <w:sz w:val="24"/>
          <w:szCs w:val="24"/>
        </w:rPr>
        <w:t>方案</w:t>
      </w:r>
    </w:p>
    <w:p>
      <w:pPr>
        <w:pStyle w:val="35"/>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供应商针对本项目制定</w:t>
      </w:r>
      <w:r>
        <w:rPr>
          <w:rFonts w:hint="eastAsia" w:ascii="Times New Roman" w:hAnsi="Times New Roman" w:eastAsia="宋体" w:cs="Times New Roman"/>
          <w:b w:val="0"/>
          <w:bCs w:val="0"/>
          <w:sz w:val="24"/>
          <w:szCs w:val="24"/>
          <w:lang w:val="en-US" w:eastAsia="zh-CN"/>
        </w:rPr>
        <w:t>安保</w:t>
      </w:r>
      <w:r>
        <w:rPr>
          <w:rFonts w:hint="default" w:ascii="Times New Roman" w:hAnsi="Times New Roman" w:eastAsia="宋体" w:cs="Times New Roman"/>
          <w:b w:val="0"/>
          <w:bCs w:val="0"/>
          <w:sz w:val="24"/>
          <w:szCs w:val="24"/>
          <w:lang w:val="en-US" w:eastAsia="zh-CN"/>
        </w:rPr>
        <w:t>服务方案，内容包括：</w:t>
      </w:r>
    </w:p>
    <w:p>
      <w:pPr>
        <w:pStyle w:val="35"/>
        <w:keepNext w:val="0"/>
        <w:keepLines w:val="0"/>
        <w:pageBreakBefore w:val="0"/>
        <w:widowControl w:val="0"/>
        <w:tabs>
          <w:tab w:val="left" w:pos="705"/>
        </w:tabs>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宋体" w:cs="Times New Roman"/>
          <w:b w:val="0"/>
          <w:bCs w:val="0"/>
          <w:i w:val="0"/>
          <w:iCs w:val="0"/>
          <w:sz w:val="24"/>
          <w:szCs w:val="24"/>
          <w:shd w:val="clear" w:color="auto" w:fill="auto"/>
          <w:lang w:val="en-US" w:eastAsia="zh-CN"/>
        </w:rPr>
      </w:pPr>
      <w:r>
        <w:rPr>
          <w:rFonts w:hint="default" w:ascii="Times New Roman" w:hAnsi="Times New Roman" w:eastAsia="宋体" w:cs="Times New Roman"/>
          <w:b w:val="0"/>
          <w:bCs w:val="0"/>
          <w:i w:val="0"/>
          <w:iCs w:val="0"/>
          <w:sz w:val="24"/>
          <w:szCs w:val="24"/>
          <w:shd w:val="clear" w:color="auto" w:fill="auto"/>
          <w:lang w:val="en-US" w:eastAsia="zh-CN"/>
        </w:rPr>
        <w:t xml:space="preserve">1. </w:t>
      </w:r>
      <w:r>
        <w:rPr>
          <w:rFonts w:hint="eastAsia" w:ascii="Times New Roman" w:hAnsi="Times New Roman" w:eastAsia="宋体" w:cs="Times New Roman"/>
          <w:b w:val="0"/>
          <w:bCs w:val="0"/>
          <w:i w:val="0"/>
          <w:iCs w:val="0"/>
          <w:sz w:val="24"/>
          <w:szCs w:val="24"/>
          <w:shd w:val="clear" w:color="auto" w:fill="auto"/>
          <w:lang w:val="en-US" w:eastAsia="zh-CN"/>
        </w:rPr>
        <w:t>外部安保服务方案；</w:t>
      </w:r>
    </w:p>
    <w:p>
      <w:pPr>
        <w:pStyle w:val="35"/>
        <w:keepNext w:val="0"/>
        <w:keepLines w:val="0"/>
        <w:pageBreakBefore w:val="0"/>
        <w:widowControl w:val="0"/>
        <w:tabs>
          <w:tab w:val="left" w:pos="705"/>
        </w:tabs>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重要活动安全与秩序保障方案；</w:t>
      </w:r>
    </w:p>
    <w:p>
      <w:pPr>
        <w:pStyle w:val="35"/>
        <w:keepNext w:val="0"/>
        <w:keepLines w:val="0"/>
        <w:pageBreakBefore w:val="0"/>
        <w:widowControl w:val="0"/>
        <w:tabs>
          <w:tab w:val="left" w:pos="705"/>
        </w:tabs>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val="en-US" w:eastAsia="zh-CN" w:bidi="ar"/>
        </w:rPr>
        <w:t>临时工作协助处置方案</w:t>
      </w:r>
      <w:r>
        <w:rPr>
          <w:rFonts w:hint="eastAsia" w:ascii="Times New Roman" w:hAnsi="Times New Roman" w:eastAsia="宋体" w:cs="Times New Roman"/>
          <w:kern w:val="0"/>
          <w:sz w:val="24"/>
          <w:szCs w:val="24"/>
          <w:lang w:val="en-US" w:eastAsia="zh-CN" w:bidi="ar"/>
        </w:rPr>
        <w:t>；</w:t>
      </w:r>
    </w:p>
    <w:p>
      <w:pPr>
        <w:pStyle w:val="34"/>
        <w:keepNext w:val="0"/>
        <w:keepLines w:val="0"/>
        <w:pageBreakBefore w:val="0"/>
        <w:widowControl w:val="0"/>
        <w:tabs>
          <w:tab w:val="left" w:pos="705"/>
        </w:tabs>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4.库区</w:t>
      </w:r>
      <w:r>
        <w:rPr>
          <w:rFonts w:hint="default" w:ascii="Times New Roman" w:hAnsi="Times New Roman" w:eastAsia="宋体" w:cs="Times New Roman"/>
          <w:kern w:val="0"/>
          <w:sz w:val="24"/>
          <w:szCs w:val="24"/>
          <w:lang w:val="en-US" w:eastAsia="zh-CN" w:bidi="ar"/>
        </w:rPr>
        <w:t>安全保障方案</w:t>
      </w:r>
      <w:r>
        <w:rPr>
          <w:rFonts w:hint="eastAsia" w:ascii="Times New Roman" w:hAnsi="Times New Roman" w:eastAsia="宋体" w:cs="Times New Roman"/>
          <w:kern w:val="0"/>
          <w:sz w:val="24"/>
          <w:szCs w:val="24"/>
          <w:lang w:val="en-US" w:eastAsia="zh-CN" w:bidi="ar"/>
        </w:rPr>
        <w:t>；</w:t>
      </w:r>
    </w:p>
    <w:p>
      <w:pPr>
        <w:pStyle w:val="34"/>
        <w:keepNext w:val="0"/>
        <w:keepLines w:val="0"/>
        <w:pageBreakBefore w:val="0"/>
        <w:widowControl w:val="0"/>
        <w:tabs>
          <w:tab w:val="left" w:pos="705"/>
        </w:tabs>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宋体" w:cs="Times New Roman"/>
          <w:kern w:val="0"/>
          <w:sz w:val="24"/>
          <w:szCs w:val="24"/>
          <w:highlight w:val="none"/>
          <w:lang w:val="en-US" w:eastAsia="zh-CN" w:bidi="ar"/>
        </w:rPr>
      </w:pPr>
      <w:r>
        <w:rPr>
          <w:rFonts w:hint="eastAsia" w:ascii="Times New Roman" w:hAnsi="Times New Roman" w:eastAsia="宋体" w:cs="Times New Roman"/>
          <w:kern w:val="0"/>
          <w:sz w:val="24"/>
          <w:szCs w:val="24"/>
          <w:highlight w:val="none"/>
          <w:lang w:val="en-US" w:eastAsia="zh-CN" w:bidi="ar"/>
        </w:rPr>
        <w:t>5.中控室、消控室值守方案。</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69E3F7D7"/>
    <w:rsid w:val="6FBEAFE1"/>
    <w:rsid w:val="77CA6F71"/>
    <w:rsid w:val="7DEE711B"/>
    <w:rsid w:val="7EA6CEEB"/>
    <w:rsid w:val="7F65F652"/>
    <w:rsid w:val="7F7F7C63"/>
    <w:rsid w:val="7FFF0856"/>
    <w:rsid w:val="AB1939D3"/>
    <w:rsid w:val="DFF99962"/>
    <w:rsid w:val="EFFE1170"/>
    <w:rsid w:val="FEDF837B"/>
    <w:rsid w:val="FFA4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8c59fc9e"/>
    <w:qFormat/>
    <w:uiPriority w:val="0"/>
    <w:pPr>
      <w:widowControl w:val="0"/>
      <w:jc w:val="both"/>
    </w:pPr>
    <w:rPr>
      <w:rFonts w:asciiTheme="minorHAnsi" w:hAnsiTheme="minorHAnsi" w:eastAsiaTheme="minorEastAsia" w:cstheme="minorBidi"/>
      <w:sz w:val="21"/>
      <w:szCs w:val="22"/>
    </w:rPr>
  </w:style>
  <w:style w:type="character" w:customStyle="1" w:styleId="9">
    <w:name w:val="Default Paragraph Font9c74a731"/>
    <w:semiHidden/>
    <w:qFormat/>
    <w:uiPriority w:val="0"/>
  </w:style>
  <w:style w:type="table" w:customStyle="1" w:styleId="10">
    <w:name w:val="Normal Table8244ad0c"/>
    <w:semiHidden/>
    <w:qFormat/>
    <w:uiPriority w:val="0"/>
    <w:tblPr>
      <w:tblCellMar>
        <w:top w:w="0" w:type="dxa"/>
        <w:left w:w="108" w:type="dxa"/>
        <w:bottom w:w="0" w:type="dxa"/>
        <w:right w:w="108" w:type="dxa"/>
      </w:tblCellMar>
    </w:tblPr>
  </w:style>
  <w:style w:type="paragraph" w:customStyle="1" w:styleId="11">
    <w:name w:val="Normal (Web)01c99437"/>
    <w:basedOn w:val="8"/>
    <w:qFormat/>
    <w:uiPriority w:val="0"/>
    <w:pPr>
      <w:spacing w:before="0" w:beforeAutospacing="1" w:after="0" w:afterAutospacing="1"/>
      <w:ind w:left="0" w:right="0"/>
      <w:jc w:val="left"/>
    </w:pPr>
    <w:rPr>
      <w:kern w:val="0"/>
      <w:sz w:val="24"/>
      <w:lang w:val="en-US" w:eastAsia="zh-CN" w:bidi="ar"/>
    </w:rPr>
  </w:style>
  <w:style w:type="paragraph" w:customStyle="1" w:styleId="12">
    <w:name w:val="Normal676fb5d5"/>
    <w:qFormat/>
    <w:uiPriority w:val="0"/>
    <w:pPr>
      <w:widowControl w:val="0"/>
      <w:jc w:val="both"/>
    </w:pPr>
    <w:rPr>
      <w:rFonts w:asciiTheme="minorHAnsi" w:hAnsiTheme="minorHAnsi" w:eastAsiaTheme="minorEastAsia" w:cstheme="minorBidi"/>
      <w:sz w:val="21"/>
      <w:szCs w:val="22"/>
    </w:rPr>
  </w:style>
  <w:style w:type="character" w:customStyle="1" w:styleId="13">
    <w:name w:val="Default Paragraph Fonte147b27f"/>
    <w:semiHidden/>
    <w:qFormat/>
    <w:uiPriority w:val="0"/>
  </w:style>
  <w:style w:type="table" w:customStyle="1" w:styleId="14">
    <w:name w:val="Normal Tablea1395b46"/>
    <w:semiHidden/>
    <w:qFormat/>
    <w:uiPriority w:val="0"/>
    <w:tblPr>
      <w:tblCellMar>
        <w:top w:w="0" w:type="dxa"/>
        <w:left w:w="108" w:type="dxa"/>
        <w:bottom w:w="0" w:type="dxa"/>
        <w:right w:w="108" w:type="dxa"/>
      </w:tblCellMar>
    </w:tblPr>
  </w:style>
  <w:style w:type="paragraph" w:customStyle="1" w:styleId="15">
    <w:name w:val="Normal4c5ff4d5"/>
    <w:qFormat/>
    <w:uiPriority w:val="0"/>
    <w:pPr>
      <w:widowControl w:val="0"/>
      <w:jc w:val="both"/>
    </w:pPr>
    <w:rPr>
      <w:rFonts w:asciiTheme="minorHAnsi" w:hAnsiTheme="minorHAnsi" w:eastAsiaTheme="minorEastAsia" w:cstheme="minorBidi"/>
      <w:sz w:val="21"/>
      <w:szCs w:val="22"/>
    </w:rPr>
  </w:style>
  <w:style w:type="character" w:customStyle="1" w:styleId="16">
    <w:name w:val="Default Paragraph Font7757cc3b"/>
    <w:semiHidden/>
    <w:qFormat/>
    <w:uiPriority w:val="0"/>
  </w:style>
  <w:style w:type="table" w:customStyle="1" w:styleId="17">
    <w:name w:val="Normal Table40a94f2f"/>
    <w:semiHidden/>
    <w:qFormat/>
    <w:uiPriority w:val="0"/>
    <w:tblPr>
      <w:tblCellMar>
        <w:top w:w="0" w:type="dxa"/>
        <w:left w:w="108" w:type="dxa"/>
        <w:bottom w:w="0" w:type="dxa"/>
        <w:right w:w="108" w:type="dxa"/>
      </w:tblCellMar>
    </w:tblPr>
  </w:style>
  <w:style w:type="paragraph" w:customStyle="1" w:styleId="18">
    <w:name w:val="Normal34b39974"/>
    <w:qFormat/>
    <w:uiPriority w:val="0"/>
    <w:pPr>
      <w:widowControl w:val="0"/>
      <w:jc w:val="both"/>
    </w:pPr>
    <w:rPr>
      <w:rFonts w:asciiTheme="minorHAnsi" w:hAnsiTheme="minorHAnsi" w:eastAsiaTheme="minorEastAsia" w:cstheme="minorBidi"/>
      <w:sz w:val="21"/>
      <w:szCs w:val="22"/>
    </w:rPr>
  </w:style>
  <w:style w:type="character" w:customStyle="1" w:styleId="19">
    <w:name w:val="Default Paragraph Fontfd31b25a"/>
    <w:semiHidden/>
    <w:qFormat/>
    <w:uiPriority w:val="0"/>
  </w:style>
  <w:style w:type="table" w:customStyle="1" w:styleId="20">
    <w:name w:val="Normal Tablef25c8682"/>
    <w:semiHidden/>
    <w:qFormat/>
    <w:uiPriority w:val="0"/>
    <w:tblPr>
      <w:tblCellMar>
        <w:top w:w="0" w:type="dxa"/>
        <w:left w:w="108" w:type="dxa"/>
        <w:bottom w:w="0" w:type="dxa"/>
        <w:right w:w="108" w:type="dxa"/>
      </w:tblCellMar>
    </w:tblPr>
  </w:style>
  <w:style w:type="paragraph" w:customStyle="1" w:styleId="21">
    <w:name w:val="Normale7db929d"/>
    <w:qFormat/>
    <w:uiPriority w:val="0"/>
    <w:pPr>
      <w:widowControl w:val="0"/>
      <w:jc w:val="both"/>
    </w:pPr>
    <w:rPr>
      <w:rFonts w:asciiTheme="minorHAnsi" w:hAnsiTheme="minorHAnsi" w:eastAsiaTheme="minorEastAsia" w:cstheme="minorBidi"/>
      <w:sz w:val="21"/>
      <w:szCs w:val="22"/>
    </w:rPr>
  </w:style>
  <w:style w:type="character" w:customStyle="1" w:styleId="22">
    <w:name w:val="Default Paragraph Font86ac2ecb"/>
    <w:semiHidden/>
    <w:qFormat/>
    <w:uiPriority w:val="0"/>
  </w:style>
  <w:style w:type="table" w:customStyle="1" w:styleId="23">
    <w:name w:val="Normal Table95166115"/>
    <w:semiHidden/>
    <w:qFormat/>
    <w:uiPriority w:val="0"/>
    <w:tblPr>
      <w:tblCellMar>
        <w:top w:w="0" w:type="dxa"/>
        <w:left w:w="108" w:type="dxa"/>
        <w:bottom w:w="0" w:type="dxa"/>
        <w:right w:w="108" w:type="dxa"/>
      </w:tblCellMar>
    </w:tblPr>
  </w:style>
  <w:style w:type="paragraph" w:customStyle="1" w:styleId="24">
    <w:name w:val="Normal40c5c827"/>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68fbbab1"/>
    <w:semiHidden/>
    <w:qFormat/>
    <w:uiPriority w:val="0"/>
  </w:style>
  <w:style w:type="table" w:customStyle="1" w:styleId="26">
    <w:name w:val="Normal Table6f15d286"/>
    <w:semiHidden/>
    <w:unhideWhenUsed/>
    <w:qFormat/>
    <w:uiPriority w:val="99"/>
    <w:tblPr>
      <w:tblCellMar>
        <w:top w:w="0" w:type="dxa"/>
        <w:left w:w="108" w:type="dxa"/>
        <w:bottom w:w="0" w:type="dxa"/>
        <w:right w:w="108" w:type="dxa"/>
      </w:tblCellMar>
    </w:tblPr>
  </w:style>
  <w:style w:type="table" w:customStyle="1" w:styleId="27">
    <w:name w:val="Table Grid3b46f9f5"/>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Normal66d354fe"/>
    <w:qFormat/>
    <w:uiPriority w:val="0"/>
    <w:pPr>
      <w:widowControl w:val="0"/>
      <w:jc w:val="both"/>
    </w:pPr>
    <w:rPr>
      <w:rFonts w:asciiTheme="minorHAnsi" w:hAnsiTheme="minorHAnsi" w:eastAsiaTheme="minorEastAsia" w:cstheme="minorBidi"/>
      <w:sz w:val="21"/>
      <w:szCs w:val="22"/>
    </w:rPr>
  </w:style>
  <w:style w:type="character" w:customStyle="1" w:styleId="29">
    <w:name w:val="Default Paragraph Fonta045905a"/>
    <w:semiHidden/>
    <w:qFormat/>
    <w:uiPriority w:val="0"/>
  </w:style>
  <w:style w:type="table" w:customStyle="1" w:styleId="30">
    <w:name w:val="Normal Tablea9626e3c"/>
    <w:semiHidden/>
    <w:qFormat/>
    <w:uiPriority w:val="0"/>
    <w:tblPr>
      <w:tblCellMar>
        <w:top w:w="0" w:type="dxa"/>
        <w:left w:w="108" w:type="dxa"/>
        <w:bottom w:w="0" w:type="dxa"/>
        <w:right w:w="108" w:type="dxa"/>
      </w:tblCellMar>
    </w:tblPr>
  </w:style>
  <w:style w:type="paragraph" w:customStyle="1" w:styleId="31">
    <w:name w:val="Normalbfd9b936"/>
    <w:qFormat/>
    <w:uiPriority w:val="0"/>
    <w:pPr>
      <w:widowControl w:val="0"/>
      <w:jc w:val="both"/>
    </w:pPr>
    <w:rPr>
      <w:rFonts w:asciiTheme="minorHAnsi" w:hAnsiTheme="minorHAnsi" w:eastAsiaTheme="minorEastAsia" w:cstheme="minorBidi"/>
      <w:sz w:val="21"/>
      <w:szCs w:val="22"/>
    </w:rPr>
  </w:style>
  <w:style w:type="character" w:customStyle="1" w:styleId="32">
    <w:name w:val="Default Paragraph Font2f46f1f6"/>
    <w:semiHidden/>
    <w:qFormat/>
    <w:uiPriority w:val="0"/>
  </w:style>
  <w:style w:type="table" w:customStyle="1" w:styleId="33">
    <w:name w:val="Normal Table6b1b3988"/>
    <w:semiHidden/>
    <w:qFormat/>
    <w:uiPriority w:val="0"/>
    <w:tblPr>
      <w:tblCellMar>
        <w:top w:w="0" w:type="dxa"/>
        <w:left w:w="108" w:type="dxa"/>
        <w:bottom w:w="0" w:type="dxa"/>
        <w:right w:w="108" w:type="dxa"/>
      </w:tblCellMar>
    </w:tblPr>
  </w:style>
  <w:style w:type="paragraph" w:customStyle="1" w:styleId="34">
    <w:name w:val="Normal6d2a5affed8f70e4"/>
    <w:qFormat/>
    <w:uiPriority w:val="0"/>
    <w:pPr>
      <w:widowControl w:val="0"/>
      <w:jc w:val="both"/>
    </w:pPr>
    <w:rPr>
      <w:rFonts w:asciiTheme="minorHAnsi" w:hAnsiTheme="minorHAnsi" w:eastAsiaTheme="minorEastAsia" w:cstheme="minorBidi"/>
      <w:sz w:val="21"/>
      <w:szCs w:val="22"/>
    </w:rPr>
  </w:style>
  <w:style w:type="paragraph" w:customStyle="1" w:styleId="35">
    <w:name w:val="Normal6d2a5affdf353b5f672a3560"/>
    <w:qFormat/>
    <w:uiPriority w:val="0"/>
    <w:pPr>
      <w:widowControl w:val="0"/>
      <w:jc w:val="both"/>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9</TotalTime>
  <ScaleCrop>false</ScaleCrop>
  <LinksUpToDate>false</LinksUpToDate>
  <CharactersWithSpaces>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W</cp:lastModifiedBy>
  <dcterms:modified xsi:type="dcterms:W3CDTF">2026-01-09T14:34:04Z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