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12.0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ZC-CZB25134</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中国印刷博物馆物业服务采购项目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11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26</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31</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32</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33</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49</w:t>
        </w:r>
        <w:r>
          <w:fldChar w:fldCharType="end"/>
        </w:r>
      </w:hyperlink>
    </w:p>
    <w:p>
      <w:pPr>
        <w:pStyle w:val="TOC2"/>
        <w:tabs>
          <w:tab w:val="left" w:pos="1100"/>
          <w:tab w:val="right" w:leader="dot" w:pos="8296"/>
        </w:tabs>
        <w:rPr>
          <w:rFonts w:ascii="Calibri" w:hAnsi="Calibri"/>
          <w:noProof/>
          <w:sz w:val="22"/>
        </w:rPr>
      </w:pPr>
      <w:hyperlink w:anchor="_Toc256000010" w:history="1">
        <w:r>
          <w:rPr>
            <w:rStyle w:val="Hyperlink"/>
            <w:rFonts w:ascii="宋体" w:eastAsia="宋体" w:hAnsi="宋体" w:cs="宋体" w:hint="eastAsia"/>
            <w:bCs/>
          </w:rPr>
          <w:t>一、</w:t>
        </w:r>
        <w:r>
          <w:rPr>
            <w:rFonts w:ascii="Calibri" w:eastAsia="宋体" w:hAnsi="Calibri" w:cs="宋体" w:hint="eastAsia"/>
            <w:bCs/>
            <w:noProof/>
            <w:sz w:val="22"/>
          </w:rPr>
          <w:tab/>
        </w:r>
        <w:r>
          <w:rPr>
            <w:rStyle w:val="Hyperlink"/>
            <w:rFonts w:ascii="宋体" w:eastAsia="宋体" w:hAnsi="宋体" w:cs="宋体" w:hint="eastAsia"/>
            <w:bCs/>
          </w:rPr>
          <w:t>合同条款</w:t>
        </w:r>
        <w:r>
          <w:tab/>
        </w:r>
        <w:r>
          <w:fldChar w:fldCharType="begin"/>
        </w:r>
        <w:r>
          <w:instrText xml:space="preserve"> PAGEREF _Toc256000010 \h </w:instrText>
        </w:r>
        <w:r>
          <w:fldChar w:fldCharType="separate"/>
        </w:r>
        <w:r>
          <w:t>49</w:t>
        </w:r>
        <w:r>
          <w:fldChar w:fldCharType="end"/>
        </w:r>
      </w:hyperlink>
    </w:p>
    <w:p>
      <w:pPr>
        <w:pStyle w:val="TOC2"/>
        <w:tabs>
          <w:tab w:val="left" w:pos="1100"/>
          <w:tab w:val="right" w:leader="dot" w:pos="8296"/>
        </w:tabs>
        <w:rPr>
          <w:rFonts w:ascii="Calibri" w:hAnsi="Calibri"/>
          <w:noProof/>
          <w:sz w:val="22"/>
        </w:rPr>
      </w:pPr>
      <w:hyperlink w:anchor="_Toc256000011" w:history="1">
        <w:r>
          <w:rPr>
            <w:rStyle w:val="Hyperlink"/>
            <w:rFonts w:ascii="宋体" w:eastAsia="宋体" w:hAnsi="宋体" w:cs="宋体" w:hint="eastAsia"/>
            <w:bCs/>
          </w:rPr>
          <w:t>二、</w:t>
        </w:r>
        <w:r>
          <w:rPr>
            <w:rFonts w:ascii="Calibri" w:eastAsia="宋体" w:hAnsi="Calibri" w:cs="宋体" w:hint="eastAsia"/>
            <w:bCs/>
            <w:noProof/>
            <w:sz w:val="22"/>
          </w:rPr>
          <w:tab/>
        </w:r>
        <w:r>
          <w:rPr>
            <w:rStyle w:val="Hyperlink"/>
            <w:rFonts w:ascii="宋体" w:eastAsia="宋体" w:hAnsi="宋体" w:cs="宋体" w:hint="eastAsia"/>
            <w:bCs/>
          </w:rPr>
          <w:t>合同格式</w:t>
        </w:r>
        <w:r>
          <w:tab/>
        </w:r>
        <w:r>
          <w:fldChar w:fldCharType="begin"/>
        </w:r>
        <w:r>
          <w:instrText xml:space="preserve"> PAGEREF _Toc256000011 \h </w:instrText>
        </w:r>
        <w:r>
          <w:fldChar w:fldCharType="separate"/>
        </w:r>
        <w:r>
          <w:t>56</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widowControl/>
        <w:adjustRightInd w:val="0"/>
        <w:snapToGrid w:val="0"/>
        <w:spacing w:line="360" w:lineRule="auto"/>
        <w:ind w:firstLine="480" w:firstLineChars="200"/>
        <w:jc w:val="left"/>
        <w:textAlignment w:val="baseline"/>
        <w:rPr>
          <w:rFonts w:ascii="宋体" w:hAnsi="宋体"/>
          <w:lang w:val="en-US" w:eastAsia="en-US" w:bidi="ar-SA"/>
        </w:rPr>
      </w:pPr>
    </w:p>
    <w:p>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项目概况</w:t>
      </w:r>
    </w:p>
    <w:p>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jc w:val="left"/>
        <w:rPr>
          <w:rFonts w:ascii="宋体" w:hAnsi="宋体"/>
          <w:lang w:val="en-US" w:eastAsia="en-US" w:bidi="ar-SA"/>
        </w:rPr>
      </w:pPr>
      <w:bookmarkStart w:id="2" w:name="ZBJBXX_XMMC_0"/>
      <w:r>
        <w:rPr>
          <w:rFonts w:ascii="宋体" w:hAnsi="宋体" w:hint="eastAsia"/>
          <w:lang w:val="en-US" w:eastAsia="en-US" w:bidi="ar-SA"/>
        </w:rPr>
        <w:t>中国印刷博物馆物业服务采购项目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2025年12月19日14时30分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jc w:val="left"/>
        <w:outlineLvl w:val="1"/>
        <w:rPr>
          <w:rFonts w:ascii="宋体" w:hAnsi="宋体" w:cs="宋体"/>
          <w:bCs/>
          <w:lang w:val="en-US" w:eastAsia="en-US" w:bidi="ar-SA"/>
        </w:rPr>
      </w:pPr>
      <w:bookmarkStart w:id="4" w:name="_Toc35393621"/>
      <w:bookmarkStart w:id="5" w:name="_Toc35393790"/>
      <w:bookmarkStart w:id="6" w:name="_Toc28359002"/>
      <w:bookmarkStart w:id="7" w:name="_Toc28359079"/>
      <w:bookmarkStart w:id="8" w:name="_Hlk24379207"/>
    </w:p>
    <w:p>
      <w:pPr>
        <w:widowControl/>
        <w:adjustRightInd w:val="0"/>
        <w:snapToGrid w:val="0"/>
        <w:spacing w:line="480" w:lineRule="exact"/>
        <w:ind w:firstLine="480" w:firstLineChars="200"/>
        <w:jc w:val="left"/>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ZC-CZB25134</w:t>
      </w:r>
      <w:bookmarkEnd w:id="9"/>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中国印刷博物馆物业服务采购项目</w:t>
      </w:r>
      <w:bookmarkEnd w:id="10"/>
    </w:p>
    <w:p>
      <w:pPr>
        <w:widowControl/>
        <w:adjustRightInd w:val="0"/>
        <w:snapToGrid w:val="0"/>
        <w:spacing w:line="480" w:lineRule="exact"/>
        <w:ind w:firstLine="480" w:firstLineChars="200"/>
        <w:jc w:val="left"/>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本项目采购预算为706.34万元，最高限价为706.34万元，超过最高限价的投标将作为无效投标处理。</w:t>
      </w:r>
      <w:bookmarkEnd w:id="11"/>
      <w:r>
        <w:rPr>
          <w:rFonts w:ascii="宋体" w:hAnsi="宋体"/>
          <w:lang w:val="en-US" w:eastAsia="en-US" w:bidi="ar-SA"/>
        </w:rPr>
        <w:t xml:space="preserve"> </w:t>
      </w:r>
    </w:p>
    <w:p>
      <w:pPr>
        <w:widowControl/>
        <w:adjustRightInd w:val="0"/>
        <w:snapToGrid w:val="0"/>
        <w:spacing w:line="480" w:lineRule="exact"/>
        <w:ind w:firstLine="480" w:firstLineChars="200"/>
        <w:jc w:val="left"/>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全区域的卫生保洁、石材及幕墙的专项清洁、设备设施养护维修，绿化、会议服务等。具体服务内容详见技术与服务要求。</w:t>
      </w:r>
      <w:bookmarkEnd w:id="12"/>
      <w:r>
        <w:rPr>
          <w:rFonts w:ascii="宋体" w:hAnsi="宋体" w:hint="eastAsia"/>
          <w:lang w:val="en-US" w:eastAsia="en-US" w:bidi="ar-SA"/>
        </w:rPr>
        <w:t>采购标的、数量以及技术要求等详见招标文件技术要求部分。</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合同履行期限为一年，自合同执行之日起至本项目服务期限结束之日止。采购需求具有相对固定性、延续性且价格变化幅度小的服务项目，在年度预算能保障的前提下，采购人可以签订不超过三年履行期限的政府采购合同。</w:t>
      </w:r>
      <w:bookmarkEnd w:id="13"/>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widowControl/>
        <w:adjustRightInd w:val="0"/>
        <w:snapToGrid w:val="0"/>
        <w:spacing w:line="480" w:lineRule="exact"/>
        <w:ind w:firstLine="480" w:firstLineChars="200"/>
        <w:jc w:val="left"/>
        <w:textAlignment w:val="baseline"/>
        <w:rPr>
          <w:rFonts w:ascii="宋体" w:hAnsi="宋体"/>
          <w:b/>
          <w:lang w:val="en-US" w:eastAsia="en-US" w:bidi="ar-SA"/>
        </w:rPr>
      </w:pPr>
      <w:bookmarkStart w:id="15" w:name="_Toc28359080"/>
      <w:bookmarkStart w:id="16" w:name="_Toc35393791"/>
      <w:bookmarkStart w:id="17" w:name="_Toc35393622"/>
      <w:bookmarkStart w:id="18" w:name="_Toc28359003"/>
      <w:r>
        <w:rPr>
          <w:rFonts w:ascii="宋体" w:hAnsi="宋体" w:hint="eastAsia"/>
          <w:b/>
          <w:lang w:val="en-US" w:eastAsia="en-US" w:bidi="ar-SA"/>
        </w:rPr>
        <w:t>二、申请人的资格要求：</w:t>
      </w:r>
      <w:bookmarkEnd w:id="15"/>
      <w:bookmarkEnd w:id="16"/>
      <w:bookmarkEnd w:id="17"/>
      <w:bookmarkEnd w:id="18"/>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1. 满足《中华人民共和国政府采购法》第二十二条规定；</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2. 落实政府采购政策需满足的资格要求：</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 xml:space="preserve">本项目为未预留份额专门面向中小企业采购项目。本包采购标的对应的中小企业划分标准所属行业为物业管理。 </w:t>
      </w:r>
      <w:bookmarkEnd w:id="20"/>
      <w:r>
        <w:rPr>
          <w:rFonts w:ascii="宋体" w:hAnsi="宋体" w:hint="eastAsia"/>
          <w:lang w:val="en-US" w:eastAsia="en-US" w:bidi="ar-SA"/>
        </w:rPr>
        <w:t xml:space="preserve"> </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本项目不涉及政府节能强制采购产品。</w:t>
      </w:r>
      <w:bookmarkEnd w:id="21"/>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本项目不涉及进口产品。</w:t>
      </w:r>
      <w:bookmarkEnd w:id="22"/>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3. 本项目的特定资格要求：</w:t>
      </w:r>
      <w:bookmarkStart w:id="23" w:name="TBYQ_TDTJ_0"/>
    </w:p>
    <w:p>
      <w:pPr>
        <w:widowControl/>
        <w:adjustRightInd w:val="0"/>
        <w:snapToGrid w:val="0"/>
        <w:spacing w:line="480" w:lineRule="exact"/>
        <w:ind w:firstLine="480" w:firstLineChars="200"/>
        <w:jc w:val="left"/>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widowControl/>
        <w:adjustRightInd w:val="0"/>
        <w:snapToGrid w:val="0"/>
        <w:spacing w:line="480" w:lineRule="exact"/>
        <w:ind w:firstLine="480" w:firstLineChars="200"/>
        <w:jc w:val="left"/>
        <w:rPr>
          <w:rFonts w:ascii="宋体" w:hAnsi="宋体" w:hint="eastAsia"/>
          <w:lang w:val="en-US" w:eastAsia="en-US" w:bidi="ar-SA"/>
        </w:rPr>
      </w:pPr>
      <w:r>
        <w:rPr>
          <w:rFonts w:ascii="宋体" w:hAnsi="宋体" w:hint="eastAsia"/>
          <w:lang w:val="en-US" w:eastAsia="en-US" w:bidi="ar-SA"/>
        </w:rPr>
        <w:t>（2）投标人中标后不得将中标项目分包或转让给其他主体实施。</w:t>
      </w:r>
    </w:p>
    <w:p>
      <w:pPr>
        <w:widowControl/>
        <w:adjustRightInd w:val="0"/>
        <w:snapToGrid w:val="0"/>
        <w:spacing w:line="480" w:lineRule="exact"/>
        <w:ind w:firstLine="480" w:firstLineChars="200"/>
        <w:jc w:val="left"/>
        <w:rPr>
          <w:rFonts w:ascii="宋体" w:hAnsi="宋体" w:hint="eastAsia"/>
          <w:lang w:val="en-US" w:eastAsia="en-US" w:bidi="ar-SA"/>
        </w:rPr>
      </w:pPr>
      <w:r>
        <w:rPr>
          <w:rFonts w:ascii="宋体" w:hAnsi="宋体" w:hint="eastAsia"/>
          <w:lang w:val="en-US" w:eastAsia="en-US" w:bidi="ar-SA"/>
        </w:rPr>
        <w:t>（3）为本项目提供整体设计、规范编制或者项目管理、监理、检测等服务的供应商，不得再参加本项目的其他采购活动。</w:t>
      </w:r>
      <w:bookmarkEnd w:id="23"/>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widowControl/>
        <w:adjustRightInd w:val="0"/>
        <w:snapToGrid w:val="0"/>
        <w:spacing w:line="480" w:lineRule="exact"/>
        <w:ind w:firstLine="480" w:firstLineChars="200"/>
        <w:jc w:val="left"/>
        <w:textAlignment w:val="baseline"/>
        <w:rPr>
          <w:rFonts w:ascii="宋体" w:hAnsi="宋体"/>
          <w:b/>
          <w:lang w:val="en-US" w:eastAsia="en-US" w:bidi="ar-SA"/>
        </w:rPr>
      </w:pPr>
      <w:r>
        <w:rPr>
          <w:rFonts w:ascii="宋体" w:hAnsi="宋体" w:hint="eastAsia"/>
          <w:b/>
          <w:lang w:val="en-US" w:eastAsia="en-US" w:bidi="ar-SA"/>
        </w:rPr>
        <w:t>三、获取招标文件</w:t>
      </w:r>
    </w:p>
    <w:p>
      <w:pPr>
        <w:widowControl/>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2025年11月24日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2025年12月1日</w:t>
      </w:r>
      <w:bookmarkEnd w:id="25"/>
    </w:p>
    <w:p>
      <w:pPr>
        <w:widowControl/>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widowControl/>
        <w:adjustRightInd w:val="0"/>
        <w:snapToGrid w:val="0"/>
        <w:spacing w:line="480" w:lineRule="exact"/>
        <w:ind w:firstLine="480" w:firstLineChars="200"/>
        <w:jc w:val="left"/>
        <w:textAlignment w:val="baseline"/>
        <w:rPr>
          <w:rFonts w:ascii="宋体"/>
          <w:lang w:val="en-US" w:eastAsia="en-US" w:bidi="ar-SA"/>
        </w:rPr>
      </w:pPr>
      <w:r>
        <w:rPr>
          <w:rFonts w:ascii="宋体" w:hAnsi="宋体" w:hint="eastAsia"/>
          <w:lang w:val="en-US" w:eastAsia="en-US" w:bidi="ar-SA"/>
        </w:rPr>
        <w:t>售价：免费下载。</w:t>
      </w:r>
    </w:p>
    <w:p>
      <w:pPr>
        <w:widowControl/>
        <w:adjustRightInd w:val="0"/>
        <w:snapToGrid w:val="0"/>
        <w:spacing w:line="480" w:lineRule="exact"/>
        <w:ind w:firstLine="480" w:firstLineChars="200"/>
        <w:jc w:val="left"/>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widowControl/>
        <w:adjustRightInd w:val="0"/>
        <w:snapToGrid w:val="0"/>
        <w:spacing w:line="480" w:lineRule="exact"/>
        <w:ind w:firstLine="480" w:firstLineChars="200"/>
        <w:jc w:val="left"/>
        <w:textAlignment w:val="baseline"/>
        <w:rPr>
          <w:rFonts w:ascii="宋体" w:hAnsi="宋体"/>
          <w:bCs/>
          <w:lang w:val="en-US" w:eastAsia="en-US" w:bidi="ar-SA"/>
        </w:rPr>
      </w:pPr>
      <w:r>
        <w:rPr>
          <w:rFonts w:ascii="宋体" w:hAnsi="宋体" w:hint="eastAsia"/>
          <w:bCs/>
          <w:lang w:val="en-US" w:eastAsia="en-US" w:bidi="ar-SA"/>
        </w:rPr>
        <w:t>（一）提交投标文件</w:t>
      </w:r>
    </w:p>
    <w:p>
      <w:pPr>
        <w:widowControl/>
        <w:adjustRightInd w:val="0"/>
        <w:snapToGrid w:val="0"/>
        <w:spacing w:line="480" w:lineRule="exact"/>
        <w:ind w:firstLine="480" w:firstLineChars="200"/>
        <w:jc w:val="left"/>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2025年12月16日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2025年12月19日</w:t>
      </w:r>
      <w:bookmarkEnd w:id="27"/>
      <w:r>
        <w:rPr>
          <w:rFonts w:ascii="宋体" w:hAnsi="宋体" w:hint="eastAsia"/>
          <w:lang w:val="en-US" w:eastAsia="en-US" w:bidi="ar-SA"/>
        </w:rPr>
        <w:t>（北京时间）</w:t>
      </w:r>
    </w:p>
    <w:p>
      <w:pPr>
        <w:widowControl/>
        <w:adjustRightInd w:val="0"/>
        <w:snapToGrid w:val="0"/>
        <w:spacing w:line="480" w:lineRule="exact"/>
        <w:ind w:firstLine="480" w:firstLineChars="200"/>
        <w:jc w:val="left"/>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widowControl/>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2025年12月19日14时30分</w:t>
      </w:r>
      <w:bookmarkEnd w:id="28"/>
      <w:r>
        <w:rPr>
          <w:rFonts w:ascii="宋体" w:hAnsi="宋体" w:hint="eastAsia"/>
          <w:lang w:val="en-US" w:eastAsia="en-US" w:bidi="ar-SA"/>
        </w:rPr>
        <w:t>（北京时间），截至此时间未完成提交的投标文件予以退回，此后提交的投标文件不予接收。</w:t>
      </w:r>
    </w:p>
    <w:p>
      <w:pPr>
        <w:widowControl/>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（二）开标方式和时间</w:t>
      </w:r>
    </w:p>
    <w:p>
      <w:pPr>
        <w:widowControl/>
        <w:adjustRightInd w:val="0"/>
        <w:snapToGrid w:val="0"/>
        <w:spacing w:line="480" w:lineRule="exact"/>
        <w:ind w:firstLine="480" w:firstLineChars="200"/>
        <w:jc w:val="left"/>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widowControl/>
        <w:adjustRightInd w:val="0"/>
        <w:snapToGrid w:val="0"/>
        <w:spacing w:line="480" w:lineRule="exact"/>
        <w:ind w:firstLine="480" w:firstLineChars="200"/>
        <w:jc w:val="left"/>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2025年12月19日14时30分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2025年12月19日14时30分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2025年12月19日14时45分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jc w:val="left"/>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jc w:val="left"/>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jc w:val="left"/>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jc w:val="left"/>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jc w:val="left"/>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jc w:val="left"/>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中国印刷博物馆</w:t>
      </w:r>
      <w:bookmarkEnd w:id="32"/>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北京市海淀区北三环中路 40 号</w:t>
      </w:r>
      <w:bookmarkEnd w:id="33"/>
    </w:p>
    <w:p>
      <w:pPr>
        <w:adjustRightInd w:val="0"/>
        <w:snapToGrid w:val="0"/>
        <w:spacing w:line="480" w:lineRule="exact"/>
        <w:ind w:firstLine="480" w:firstLineChars="200"/>
        <w:jc w:val="left"/>
        <w:textAlignment w:val="baseline"/>
        <w:rPr>
          <w:rFonts w:ascii="宋体" w:hAnsi="宋体" w:hint="eastAsia"/>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010-81282765</w:t>
      </w:r>
      <w:bookmarkEnd w:id="34"/>
      <w:r>
        <w:rPr>
          <w:rFonts w:ascii="宋体" w:hAnsi="宋体" w:hint="eastAsia"/>
          <w:lang w:val="en-US" w:eastAsia="en-US" w:bidi="ar-SA"/>
        </w:rPr>
        <w:t>（项目咨询）</w:t>
      </w:r>
    </w:p>
    <w:p>
      <w:pPr>
        <w:adjustRightInd w:val="0"/>
        <w:snapToGrid w:val="0"/>
        <w:spacing w:line="480" w:lineRule="exact"/>
        <w:ind w:firstLine="1680" w:firstLineChars="700"/>
        <w:jc w:val="left"/>
        <w:textAlignment w:val="baseline"/>
        <w:rPr>
          <w:rFonts w:ascii="宋体" w:hAnsi="宋体" w:hint="eastAsia"/>
          <w:lang w:val="en-US" w:eastAsia="en-US" w:bidi="ar-SA"/>
        </w:rPr>
      </w:pPr>
      <w:bookmarkStart w:id="35" w:name="TBYQ_ZYLXDH_0"/>
      <w:r>
        <w:rPr>
          <w:rFonts w:ascii="宋体" w:hAnsi="宋体" w:hint="eastAsia"/>
          <w:lang w:val="en-US" w:eastAsia="en-US" w:bidi="ar-SA"/>
        </w:rPr>
        <w:t>010-81282890</w:t>
      </w:r>
      <w:bookmarkEnd w:id="35"/>
      <w:r>
        <w:rPr>
          <w:rFonts w:ascii="宋体" w:hAnsi="宋体" w:hint="eastAsia"/>
          <w:lang w:val="en-US" w:eastAsia="en-US" w:bidi="ar-SA"/>
        </w:rPr>
        <w:t>（质疑受理）</w:t>
      </w:r>
      <w:bookmarkStart w:id="36" w:name="_GoBack"/>
      <w:bookmarkEnd w:id="36"/>
    </w:p>
    <w:p>
      <w:pPr>
        <w:adjustRightInd w:val="0"/>
        <w:snapToGrid w:val="0"/>
        <w:spacing w:line="480" w:lineRule="exact"/>
        <w:ind w:firstLine="1680" w:firstLineChars="700"/>
        <w:jc w:val="left"/>
        <w:textAlignment w:val="baseline"/>
        <w:rPr>
          <w:rFonts w:ascii="宋体" w:hAnsi="宋体" w:hint="eastAsia"/>
          <w:lang w:val="en-US" w:eastAsia="en-US" w:bidi="ar-SA"/>
        </w:rPr>
      </w:pPr>
      <w:bookmarkStart w:id="37" w:name="TBYQ_JDJBDH_0"/>
      <w:r>
        <w:rPr>
          <w:rFonts w:hint="eastAsia"/>
          <w:lang w:val="en-US" w:eastAsia="zh-CN" w:bidi="ar-SA"/>
        </w:rPr>
        <w:t>010-81282813</w:t>
      </w:r>
      <w:bookmarkEnd w:id="37"/>
      <w:r>
        <w:rPr>
          <w:rFonts w:hint="eastAsia"/>
          <w:lang w:val="en-US" w:eastAsia="zh-CN" w:bidi="ar-SA"/>
        </w:rPr>
        <w:t>（监督举报）</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jc w:val="left"/>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联系方式：</w:t>
      </w:r>
      <w:bookmarkStart w:id="38" w:name="TBYQ_JBRDH_0"/>
      <w:r>
        <w:rPr>
          <w:rFonts w:ascii="宋体" w:hAnsi="宋体" w:hint="eastAsia"/>
          <w:lang w:val="en-US" w:eastAsia="en-US" w:bidi="ar-SA"/>
        </w:rPr>
        <w:t>010-82273334</w:t>
      </w:r>
      <w:bookmarkEnd w:id="38"/>
      <w:r>
        <w:rPr>
          <w:rFonts w:ascii="宋体" w:hAnsi="宋体" w:hint="eastAsia"/>
          <w:lang w:val="en-US" w:eastAsia="en-US" w:bidi="ar-SA"/>
        </w:rPr>
        <w:t>（项目咨询）</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widowControl/>
        <w:adjustRightInd w:val="0"/>
        <w:snapToGrid w:val="0"/>
        <w:spacing w:line="480" w:lineRule="exact"/>
        <w:ind w:firstLine="1680" w:firstLineChars="700"/>
        <w:jc w:val="left"/>
        <w:rPr>
          <w:rFonts w:ascii="宋体" w:hAnsi="宋体"/>
          <w:lang w:val="en-US" w:eastAsia="en-US" w:bidi="ar-SA"/>
        </w:rPr>
      </w:pPr>
      <w:r>
        <w:rPr>
          <w:rFonts w:ascii="宋体" w:hAnsi="宋体" w:hint="eastAsia"/>
          <w:lang w:val="en-US" w:eastAsia="en-US" w:bidi="ar-SA"/>
        </w:rPr>
        <w:t>010-82273269/75（技术支持）</w:t>
      </w:r>
    </w:p>
    <w:p>
      <w:pPr>
        <w:widowControl/>
        <w:adjustRightInd w:val="0"/>
        <w:snapToGrid w:val="0"/>
        <w:spacing w:line="480" w:lineRule="exact"/>
        <w:ind w:firstLine="480" w:firstLineChars="200"/>
        <w:jc w:val="left"/>
        <w:rPr>
          <w:rFonts w:ascii="宋体"/>
          <w:lang w:val="en-US" w:eastAsia="en-US" w:bidi="ar-SA"/>
        </w:rPr>
      </w:pPr>
      <w:r>
        <w:rPr>
          <w:rFonts w:ascii="宋体" w:hint="eastAsia"/>
          <w:lang w:val="en-US" w:eastAsia="en-US" w:bidi="ar-SA"/>
        </w:rPr>
        <w:t>（三）项目联系方式</w:t>
      </w:r>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项目联系人：</w:t>
      </w:r>
      <w:bookmarkStart w:id="39" w:name="TBYQ_XMJBR_0"/>
      <w:r>
        <w:rPr>
          <w:rFonts w:ascii="宋体" w:hAnsi="宋体" w:hint="eastAsia"/>
          <w:lang w:val="en-US" w:eastAsia="en-US" w:bidi="ar-SA"/>
        </w:rPr>
        <w:t>张庆</w:t>
      </w:r>
      <w:bookmarkEnd w:id="39"/>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联系方式：</w:t>
      </w:r>
      <w:bookmarkStart w:id="40" w:name="TBYQ_JBRDH_1"/>
      <w:r>
        <w:rPr>
          <w:rFonts w:ascii="宋体" w:hAnsi="宋体" w:hint="eastAsia"/>
          <w:lang w:val="en-US" w:eastAsia="en-US" w:bidi="ar-SA"/>
        </w:rPr>
        <w:t>010-82273334</w:t>
      </w:r>
      <w:bookmarkEnd w:id="40"/>
    </w:p>
    <w:p>
      <w:pPr>
        <w:widowControl/>
        <w:adjustRightInd w:val="0"/>
        <w:snapToGrid w:val="0"/>
        <w:spacing w:line="480" w:lineRule="exact"/>
        <w:ind w:firstLine="480" w:firstLineChars="200"/>
        <w:jc w:val="left"/>
        <w:rPr>
          <w:rFonts w:ascii="宋体" w:hAnsi="宋体"/>
          <w:lang w:val="en-US" w:eastAsia="en-US" w:bidi="ar-SA"/>
        </w:rPr>
      </w:pPr>
      <w:r>
        <w:rPr>
          <w:rFonts w:ascii="宋体" w:hAnsi="宋体" w:hint="eastAsia"/>
          <w:lang w:val="en-US" w:eastAsia="en-US" w:bidi="ar-SA"/>
        </w:rPr>
        <w:t>评审联系电话：010-82272151</w:t>
      </w:r>
    </w:p>
    <w:p>
      <w:pPr>
        <w:widowControl/>
        <w:numPr>
          <w:ilvl w:val="0"/>
          <w:numId w:val="1"/>
        </w:numPr>
        <w:adjustRightInd w:val="0"/>
        <w:snapToGrid w:val="0"/>
        <w:spacing w:line="480" w:lineRule="exact"/>
        <w:ind w:firstLine="480" w:firstLineChars="200"/>
        <w:jc w:val="left"/>
        <w:rPr>
          <w:rFonts w:ascii="宋体" w:hAnsi="宋体" w:hint="eastAsia"/>
          <w:b/>
          <w:lang w:val="en-US" w:eastAsia="en-US" w:bidi="ar-SA"/>
        </w:rPr>
      </w:pPr>
      <w:r>
        <w:rPr>
          <w:rFonts w:ascii="宋体" w:hAnsi="宋体" w:hint="eastAsia"/>
          <w:b/>
          <w:lang w:val="en-US" w:eastAsia="en-US" w:bidi="ar-SA"/>
        </w:rPr>
        <w:t>其他要求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80" w:firstLineChars="200"/>
        <w:textAlignment w:val="auto"/>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1" w:name="_Toc256000003"/>
      <w:r>
        <w:rPr>
          <w:rFonts w:ascii="黑体" w:eastAsia="黑体" w:hAnsi="黑体" w:cs="黑体" w:hint="eastAsia"/>
          <w:bCs/>
          <w:iCs/>
          <w:color w:val="000000"/>
          <w:sz w:val="28"/>
          <w:lang w:val="en-US" w:eastAsia="en-US" w:bidi="ar-SA"/>
        </w:rPr>
        <w:t>第二部分 招标基本信息</w:t>
      </w:r>
      <w:bookmarkEnd w:id="41"/>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jc w:val="left"/>
        <w:rPr>
          <w:rFonts w:ascii="宋体" w:eastAsia="宋体" w:hAnsi="宋体"/>
          <w:lang w:val="en-US" w:eastAsia="en-US" w:bidi="ar-SA"/>
        </w:rPr>
      </w:pPr>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一、项目编号：</w:t>
      </w:r>
      <w:bookmarkStart w:id="42" w:name="ZBJBXX_ZBBH_0"/>
      <w:r>
        <w:rPr>
          <w:rFonts w:ascii="宋体" w:eastAsia="宋体" w:hAnsi="宋体" w:hint="eastAsia"/>
          <w:lang w:val="en-US" w:eastAsia="en-US" w:bidi="ar-SA"/>
        </w:rPr>
        <w:t>ZC-CZB25134</w:t>
      </w:r>
      <w:bookmarkEnd w:id="42"/>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二、项目名称：</w:t>
      </w:r>
      <w:bookmarkStart w:id="43" w:name="ZBJBXX_XMMC_0_0"/>
      <w:r>
        <w:rPr>
          <w:rFonts w:ascii="宋体" w:eastAsia="宋体" w:hAnsi="宋体" w:hint="eastAsia"/>
          <w:lang w:val="en-US" w:eastAsia="en-US" w:bidi="ar-SA"/>
        </w:rPr>
        <w:t>中国印刷博物馆物业服务采购项目</w:t>
      </w:r>
      <w:bookmarkEnd w:id="43"/>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三、采购人：</w:t>
      </w:r>
      <w:bookmarkStart w:id="44" w:name="ZBJBXX_CGRMC_0"/>
      <w:r>
        <w:rPr>
          <w:rFonts w:ascii="宋体" w:eastAsia="宋体" w:hAnsi="宋体" w:hint="eastAsia"/>
          <w:lang w:val="en-US" w:eastAsia="en-US" w:bidi="ar-SA"/>
        </w:rPr>
        <w:t>中国印刷博物馆</w:t>
      </w:r>
      <w:bookmarkEnd w:id="44"/>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四、报价要求：</w:t>
      </w:r>
      <w:bookmarkStart w:id="45" w:name="ZBJBXX_XMYSXX_0_0"/>
      <w:r>
        <w:rPr>
          <w:rFonts w:ascii="宋体" w:eastAsia="宋体" w:hAnsi="宋体" w:hint="eastAsia"/>
          <w:lang w:val="en-US" w:eastAsia="en-US" w:bidi="ar-SA"/>
        </w:rPr>
        <w:t>本项目采购预算为706.34万元，最高限价为706.34万元，超过最高限价的投标将作为无效投标处理。</w:t>
      </w:r>
      <w:bookmarkEnd w:id="45"/>
    </w:p>
    <w:p>
      <w:pPr>
        <w:adjustRightInd w:val="0"/>
        <w:snapToGrid w:val="0"/>
        <w:spacing w:line="480" w:lineRule="exact"/>
        <w:ind w:firstLine="480" w:firstLineChars="200"/>
        <w:jc w:val="left"/>
        <w:rPr>
          <w:rFonts w:ascii="宋体" w:eastAsia="宋体" w:hAnsi="Calibri"/>
          <w:lang w:val="en-US" w:eastAsia="en-US" w:bidi="ar-SA"/>
        </w:rPr>
      </w:pPr>
      <w:bookmarkStart w:id="46" w:name="ZBJBXX_BJYQ_0"/>
      <w:r>
        <w:rPr>
          <w:rFonts w:ascii="宋体" w:eastAsia="宋体" w:hAnsi="Calibri"/>
          <w:lang w:val="en-US" w:eastAsia="en-US" w:bidi="ar-SA"/>
        </w:rPr>
        <w:t>报价中应包括完成本项目的所有费用。</w:t>
      </w:r>
      <w:bookmarkEnd w:id="46"/>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五、资金来源：</w:t>
      </w:r>
      <w:bookmarkStart w:id="47" w:name="ZBJBXX_ZJLY_0"/>
      <w:r>
        <w:rPr>
          <w:rFonts w:ascii="宋体" w:eastAsia="宋体" w:hAnsi="宋体" w:hint="eastAsia"/>
          <w:lang w:val="en-US" w:eastAsia="en-US" w:bidi="ar-SA"/>
        </w:rPr>
        <w:t>财政性资金</w:t>
      </w:r>
      <w:bookmarkEnd w:id="47"/>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六、交货要求：</w:t>
      </w:r>
      <w:bookmarkStart w:id="48" w:name="ZBJBXX_JHYQ_0"/>
      <w:r>
        <w:rPr>
          <w:rFonts w:ascii="宋体" w:eastAsia="宋体" w:hAnsi="宋体" w:hint="eastAsia"/>
          <w:lang w:val="en-US" w:eastAsia="en-US" w:bidi="ar-SA"/>
        </w:rPr>
        <w:t>服务期限为一年。服务地点为北京市海淀区北三环中路40号。</w:t>
      </w:r>
      <w:bookmarkEnd w:id="48"/>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七、履约保证金：</w:t>
      </w:r>
      <w:bookmarkStart w:id="49" w:name="ZBJBXX_LYBZJYQ_0"/>
      <w:r>
        <w:rPr>
          <w:rFonts w:ascii="宋体" w:eastAsia="宋体" w:hAnsi="宋体" w:hint="eastAsia"/>
          <w:lang w:val="en-US" w:eastAsia="en-US" w:bidi="ar-SA"/>
        </w:rPr>
        <w:t>供应商正式入驻10日内向采购人提供合同总价5%的履约保证金，履约保证金以支票、汇票、本票或金融机构、担保机构出具的保函等方式提交。如果供应商能按约全面履行合同义务，采购人将在合同履行完成后30日内退还供应商履约保证金（不计利息），合同履行过程中，因中标供应商原因造成的重大事故或单方解除合同的，所造成采购人的各项损失由履约金中扣除，履约保证金扣除后，供应商需补齐合同总价5％的履约保证金。</w:t>
      </w:r>
      <w:bookmarkEnd w:id="49"/>
    </w:p>
    <w:p>
      <w:pPr>
        <w:adjustRightInd w:val="0"/>
        <w:snapToGrid w:val="0"/>
        <w:spacing w:line="480" w:lineRule="exact"/>
        <w:ind w:firstLine="480" w:firstLineChars="200"/>
        <w:jc w:val="left"/>
        <w:rPr>
          <w:rFonts w:ascii="宋体" w:eastAsia="宋体" w:hAnsi="宋体"/>
          <w:lang w:val="en-US" w:eastAsia="en-US" w:bidi="ar-SA"/>
        </w:rPr>
      </w:pPr>
      <w:r>
        <w:rPr>
          <w:rFonts w:ascii="宋体" w:eastAsia="宋体" w:hAnsi="宋体" w:hint="eastAsia"/>
          <w:lang w:val="en-US" w:eastAsia="en-US" w:bidi="ar-SA"/>
        </w:rPr>
        <w:t>八、采购资金支付：</w:t>
      </w:r>
      <w:bookmarkStart w:id="50" w:name="ZBJBXX_CGZJZF_0"/>
    </w:p>
    <w:p>
      <w:pPr>
        <w:adjustRightInd w:val="0"/>
        <w:snapToGrid w:val="0"/>
        <w:spacing w:line="480" w:lineRule="exact"/>
        <w:ind w:firstLine="480" w:firstLineChars="200"/>
        <w:jc w:val="left"/>
        <w:rPr>
          <w:rFonts w:ascii="宋体" w:eastAsia="宋体" w:hAnsi="宋体" w:hint="eastAsia"/>
          <w:lang w:val="en-US" w:eastAsia="en-US" w:bidi="ar-SA"/>
        </w:rPr>
      </w:pPr>
      <w:r>
        <w:rPr>
          <w:rFonts w:ascii="宋体" w:eastAsia="宋体" w:hAnsi="宋体" w:hint="eastAsia"/>
          <w:lang w:val="en-US" w:eastAsia="en-US" w:bidi="ar-SA"/>
        </w:rPr>
        <w:t>服务项目的费用实行包干制。每月服务完毕，经采购人考核合格后，供应商应向采购人提供相应的正式发票。采购人收到正式发票后十个工作日内以汇款或转账支票方式付清当月合同款项，采购人按月定期考核，考核不合格如有扣款，在当月或下月费用结算中扣除。</w:t>
      </w:r>
      <w:bookmarkEnd w:id="50"/>
    </w:p>
    <w:p>
      <w:pPr>
        <w:adjustRightInd w:val="0"/>
        <w:snapToGrid w:val="0"/>
        <w:spacing w:line="480" w:lineRule="exact"/>
        <w:ind w:firstLine="480" w:firstLineChars="200"/>
        <w:jc w:val="left"/>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1" w:name="ZBJBXX_TBYXQ_0"/>
      <w:r>
        <w:rPr>
          <w:rFonts w:ascii="宋体" w:eastAsia="宋体" w:hAnsi="宋体" w:hint="eastAsia"/>
          <w:lang w:val="en-US" w:eastAsia="en-US" w:bidi="ar-SA"/>
        </w:rPr>
        <w:t>90</w:t>
      </w:r>
      <w:bookmarkEnd w:id="51"/>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十、投标保证金要求：</w:t>
      </w:r>
      <w:bookmarkStart w:id="52" w:name="ZBJBXX_TBBZJYQ_0"/>
      <w:r>
        <w:rPr>
          <w:rFonts w:ascii="宋体" w:eastAsia="宋体" w:hAnsi="宋体" w:hint="eastAsia"/>
          <w:lang w:val="en-US" w:eastAsia="en-US" w:bidi="ar-SA"/>
        </w:rPr>
        <w:t>本项目不收取投标保证金。</w:t>
      </w:r>
      <w:bookmarkEnd w:id="52"/>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评标委员会成员共</w:t>
      </w:r>
      <w:bookmarkStart w:id="53" w:name="ZBJBXX_PBWYHZRS_0"/>
      <w:r>
        <w:rPr>
          <w:rFonts w:ascii="宋体" w:eastAsia="宋体" w:hAnsi="宋体" w:hint="eastAsia"/>
          <w:lang w:val="en-US" w:eastAsia="en-US" w:bidi="ar-SA"/>
        </w:rPr>
        <w:t>5</w:t>
      </w:r>
      <w:bookmarkEnd w:id="53"/>
      <w:r>
        <w:rPr>
          <w:rFonts w:ascii="宋体" w:eastAsia="宋体" w:hAnsi="宋体" w:hint="eastAsia"/>
          <w:lang w:val="en-US" w:eastAsia="en-US" w:bidi="ar-SA"/>
        </w:rPr>
        <w:t>名，其中有关技术、经济等方面的专家</w:t>
      </w:r>
      <w:bookmarkStart w:id="54" w:name="ZBJBXX_ZJSL_0"/>
      <w:r>
        <w:rPr>
          <w:rFonts w:ascii="宋体" w:eastAsia="宋体" w:hAnsi="宋体" w:hint="eastAsia"/>
          <w:lang w:val="en-US" w:eastAsia="en-US" w:bidi="ar-SA"/>
        </w:rPr>
        <w:t>4</w:t>
      </w:r>
      <w:bookmarkEnd w:id="54"/>
      <w:r>
        <w:rPr>
          <w:rFonts w:ascii="宋体" w:eastAsia="宋体" w:hAnsi="宋体" w:hint="eastAsia"/>
          <w:lang w:val="en-US" w:eastAsia="en-US" w:bidi="ar-SA"/>
        </w:rPr>
        <w:t>名，采购人代表</w:t>
      </w:r>
      <w:bookmarkStart w:id="55" w:name="ZBJBXX_CGRSL_0"/>
      <w:r>
        <w:rPr>
          <w:rFonts w:ascii="宋体" w:eastAsia="宋体" w:hAnsi="宋体" w:hint="eastAsia"/>
          <w:lang w:val="en-US" w:eastAsia="en-US" w:bidi="ar-SA"/>
        </w:rPr>
        <w:t>1</w:t>
      </w:r>
      <w:bookmarkEnd w:id="55"/>
      <w:r>
        <w:rPr>
          <w:rFonts w:ascii="宋体" w:eastAsia="宋体" w:hAnsi="宋体" w:hint="eastAsia"/>
          <w:lang w:val="en-US" w:eastAsia="en-US" w:bidi="ar-SA"/>
        </w:rPr>
        <w:t>名。</w:t>
      </w:r>
    </w:p>
    <w:p>
      <w:pPr>
        <w:adjustRightInd w:val="0"/>
        <w:snapToGrid w:val="0"/>
        <w:spacing w:line="480" w:lineRule="exact"/>
        <w:ind w:firstLine="480" w:firstLineChars="200"/>
        <w:jc w:val="left"/>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6" w:name="ZBJBXX_PFBF_0"/>
      <w:r>
        <w:rPr>
          <w:rFonts w:ascii="宋体" w:eastAsia="宋体" w:hAnsi="宋体" w:hint="eastAsia"/>
          <w:lang w:val="en-US" w:eastAsia="en-US" w:bidi="ar-SA"/>
        </w:rPr>
        <w:t>综合评分法</w:t>
      </w:r>
      <w:bookmarkEnd w:id="56"/>
      <w:r>
        <w:rPr>
          <w:rFonts w:ascii="宋体" w:eastAsia="宋体" w:hAnsi="宋体" w:hint="eastAsia"/>
          <w:lang w:val="en-US" w:eastAsia="en-US" w:bidi="ar-SA"/>
        </w:rPr>
        <w:t>。</w:t>
      </w:r>
    </w:p>
    <w:p>
      <w:pPr>
        <w:widowControl/>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7" w:name="_Toc256000004"/>
      <w:r>
        <w:rPr>
          <w:rFonts w:ascii="黑体" w:eastAsia="黑体" w:hAnsi="黑体" w:cs="黑体"/>
          <w:bCs/>
          <w:iCs/>
          <w:color w:val="000000"/>
          <w:sz w:val="28"/>
          <w:szCs w:val="28"/>
          <w:lang w:val="en-US" w:eastAsia="en-US" w:bidi="ar-SA"/>
        </w:rPr>
        <w:t>第三部分 投标内容及格式要求</w:t>
      </w:r>
      <w:bookmarkEnd w:id="57"/>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160" w:line="259"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16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16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16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16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16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16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16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16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16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16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jc w:val="left"/>
        <w:rPr>
          <w:rFonts w:ascii="宋体" w:eastAsia="宋体" w:hAnsi="宋体"/>
          <w:kern w:val="2"/>
          <w:lang w:val="en-US" w:eastAsia="zh-CN" w:bidi="ar-SA"/>
        </w:rPr>
      </w:pPr>
    </w:p>
    <w:tbl>
      <w:tblPr>
        <w:tblStyle w:val="TableNormal"/>
        <w:tblW w:w="8188"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val="04A0"/>
      </w:tblPr>
      <w:tblGrid>
        <w:gridCol w:w="717"/>
        <w:gridCol w:w="2652"/>
        <w:gridCol w:w="1613"/>
        <w:gridCol w:w="1613"/>
        <w:gridCol w:w="1593"/>
      </w:tblGrid>
      <w:tr>
        <w:tblPrEx>
          <w:tblW w:w="8188"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val="04A0"/>
        </w:tblPrEx>
        <w:trPr>
          <w:trHeight w:val="567"/>
          <w:jc w:val="center"/>
        </w:trPr>
        <w:tc>
          <w:tcPr>
            <w:tcW w:w="717"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序号</w:t>
            </w:r>
          </w:p>
        </w:tc>
        <w:tc>
          <w:tcPr>
            <w:tcW w:w="2652"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项目</w:t>
            </w:r>
          </w:p>
        </w:tc>
        <w:tc>
          <w:tcPr>
            <w:tcW w:w="1613"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r>
              <w:rPr>
                <w:rFonts w:ascii="黑体" w:eastAsia="黑体" w:hAnsi="Calibri" w:hint="eastAsia"/>
                <w:bCs/>
                <w:kern w:val="2"/>
                <w:sz w:val="21"/>
                <w:szCs w:val="21"/>
                <w:lang w:val="en-US" w:eastAsia="zh-CN" w:bidi="ar-SA"/>
              </w:rPr>
              <w:t>月支出(元)</w:t>
            </w:r>
          </w:p>
        </w:tc>
        <w:tc>
          <w:tcPr>
            <w:tcW w:w="1613"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年支出(元)</w:t>
            </w:r>
          </w:p>
        </w:tc>
        <w:tc>
          <w:tcPr>
            <w:tcW w:w="1593"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r>
              <w:rPr>
                <w:rFonts w:ascii="黑体" w:eastAsia="黑体" w:hAnsi="Calibri" w:hint="eastAsia"/>
                <w:bCs/>
                <w:kern w:val="2"/>
                <w:sz w:val="21"/>
                <w:szCs w:val="21"/>
                <w:lang w:val="en-US" w:eastAsia="zh-CN" w:bidi="ar-SA"/>
              </w:rPr>
              <w:t>费用计算说明</w:t>
            </w: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r>
              <w:rPr>
                <w:rFonts w:ascii="Calibri" w:eastAsia="宋体" w:hAnsi="Courier New" w:hint="eastAsia"/>
                <w:kern w:val="2"/>
                <w:sz w:val="20"/>
                <w:szCs w:val="21"/>
                <w:lang w:val="en-US" w:eastAsia="zh-CN" w:bidi="ar-SA"/>
              </w:rPr>
              <w:t>1</w:t>
            </w:r>
          </w:p>
        </w:tc>
        <w:tc>
          <w:tcPr>
            <w:tcW w:w="2652"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hint="eastAsia"/>
                <w:bCs/>
                <w:kern w:val="2"/>
                <w:sz w:val="21"/>
                <w:szCs w:val="22"/>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A</w:t>
            </w: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r>
              <w:rPr>
                <w:rFonts w:ascii="Calibri" w:eastAsia="宋体" w:hAnsi="Courier New" w:hint="eastAsia"/>
                <w:kern w:val="2"/>
                <w:sz w:val="20"/>
                <w:szCs w:val="21"/>
                <w:lang w:val="en-US" w:eastAsia="zh-CN" w:bidi="ar-SA"/>
              </w:rPr>
              <w:t>2</w:t>
            </w:r>
          </w:p>
        </w:tc>
        <w:tc>
          <w:tcPr>
            <w:tcW w:w="2652"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hint="eastAsia"/>
                <w:bCs/>
                <w:kern w:val="2"/>
                <w:sz w:val="21"/>
                <w:szCs w:val="22"/>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B</w:t>
            </w: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r>
              <w:rPr>
                <w:rFonts w:ascii="Calibri" w:eastAsia="宋体" w:hAnsi="Courier New" w:hint="eastAsia"/>
                <w:kern w:val="2"/>
                <w:sz w:val="20"/>
                <w:szCs w:val="21"/>
                <w:lang w:val="en-US" w:eastAsia="zh-CN" w:bidi="ar-SA"/>
              </w:rPr>
              <w:t>3</w:t>
            </w:r>
          </w:p>
        </w:tc>
        <w:tc>
          <w:tcPr>
            <w:tcW w:w="2652"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hint="eastAsia"/>
                <w:bCs/>
                <w:kern w:val="2"/>
                <w:sz w:val="21"/>
                <w:szCs w:val="22"/>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C</w:t>
            </w: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r>
              <w:rPr>
                <w:rFonts w:ascii="宋体" w:eastAsia="宋体" w:hAnsi="宋体" w:hint="eastAsia"/>
                <w:bCs/>
                <w:kern w:val="2"/>
                <w:sz w:val="21"/>
                <w:szCs w:val="22"/>
                <w:lang w:val="en-US" w:eastAsia="zh-CN" w:bidi="ar-SA"/>
              </w:rPr>
              <w:t>…</w:t>
            </w:r>
          </w:p>
        </w:tc>
        <w:tc>
          <w:tcPr>
            <w:tcW w:w="2652"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hint="eastAsia"/>
                <w:bCs/>
                <w:kern w:val="2"/>
                <w:sz w:val="21"/>
                <w:szCs w:val="22"/>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D</w:t>
            </w: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jc w:val="center"/>
              <w:rPr>
                <w:rFonts w:ascii="黑体" w:eastAsia="黑体" w:hAnsi="Calibri" w:hint="eastAsia"/>
                <w:bCs/>
                <w:kern w:val="2"/>
                <w:sz w:val="21"/>
                <w:szCs w:val="21"/>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hint="eastAsia"/>
                <w:bCs/>
                <w:kern w:val="2"/>
                <w:sz w:val="21"/>
                <w:szCs w:val="22"/>
                <w:lang w:val="en-US" w:eastAsia="zh-CN" w:bidi="ar-SA"/>
              </w:rPr>
            </w:pPr>
          </w:p>
        </w:tc>
        <w:tc>
          <w:tcPr>
            <w:tcW w:w="1613" w:type="dxa"/>
            <w:tcBorders>
              <w:tl2br w:val="nil"/>
              <w:tr2bl w:val="nil"/>
            </w:tcBorders>
            <w:vAlign w:val="center"/>
          </w:tcPr>
          <w:p>
            <w:pPr>
              <w:widowControl w:val="0"/>
              <w:spacing w:after="200" w:line="360" w:lineRule="auto"/>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w:t>
            </w: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1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59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8188" w:type="dxa"/>
          <w:jc w:val="center"/>
          <w:tblInd w:w="0" w:type="dxa"/>
          <w:tblLayout w:type="fixed"/>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tLeast"/>
              <w:jc w:val="center"/>
              <w:rPr>
                <w:rFonts w:ascii="Calibri" w:eastAsia="宋体" w:hAnsi="Courier New"/>
                <w:kern w:val="2"/>
                <w:sz w:val="21"/>
                <w:szCs w:val="22"/>
                <w:lang w:val="en-US" w:eastAsia="zh-CN" w:bidi="ar-SA"/>
              </w:rPr>
            </w:pPr>
          </w:p>
        </w:tc>
        <w:tc>
          <w:tcPr>
            <w:tcW w:w="4265" w:type="dxa"/>
            <w:gridSpan w:val="2"/>
            <w:tcBorders>
              <w:tl2br w:val="nil"/>
              <w:tr2bl w:val="nil"/>
            </w:tcBorders>
            <w:vAlign w:val="center"/>
          </w:tcPr>
          <w:p>
            <w:pPr>
              <w:widowControl w:val="0"/>
              <w:adjustRightInd w:val="0"/>
              <w:spacing w:after="200" w:line="360" w:lineRule="auto"/>
              <w:jc w:val="center"/>
              <w:rPr>
                <w:rFonts w:ascii="宋体" w:eastAsia="宋体" w:hAnsi="宋体" w:hint="eastAsia"/>
                <w:bCs/>
                <w:kern w:val="2"/>
                <w:sz w:val="21"/>
                <w:szCs w:val="22"/>
                <w:lang w:val="en-US" w:eastAsia="zh-CN" w:bidi="ar-SA"/>
              </w:rPr>
            </w:pPr>
            <w:r>
              <w:rPr>
                <w:rFonts w:ascii="黑体" w:eastAsia="黑体" w:hAnsi="Calibri" w:hint="eastAsia"/>
                <w:bCs/>
                <w:kern w:val="2"/>
                <w:sz w:val="21"/>
                <w:szCs w:val="21"/>
                <w:lang w:val="en-US" w:eastAsia="zh-CN" w:bidi="ar-SA"/>
              </w:rPr>
              <w:t>合计</w:t>
            </w:r>
          </w:p>
        </w:tc>
        <w:tc>
          <w:tcPr>
            <w:tcW w:w="1613" w:type="dxa"/>
            <w:tcBorders>
              <w:tl2br w:val="nil"/>
              <w:tr2bl w:val="nil"/>
            </w:tcBorders>
            <w:vAlign w:val="center"/>
          </w:tcPr>
          <w:p>
            <w:pPr>
              <w:widowControl w:val="0"/>
              <w:adjustRightInd w:val="0"/>
              <w:spacing w:after="200" w:line="360" w:lineRule="auto"/>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A+B+C+D+</w:t>
            </w:r>
            <w:r>
              <w:rPr>
                <w:rFonts w:ascii="宋体" w:eastAsia="宋体" w:hAnsi="宋体" w:hint="eastAsia"/>
                <w:bCs/>
                <w:kern w:val="2"/>
                <w:sz w:val="21"/>
                <w:szCs w:val="22"/>
                <w:lang w:val="en-US" w:eastAsia="zh-CN" w:bidi="ar-SA"/>
              </w:rPr>
              <w:t>…</w:t>
            </w:r>
          </w:p>
        </w:tc>
        <w:tc>
          <w:tcPr>
            <w:tcW w:w="1593" w:type="dxa"/>
            <w:tcBorders>
              <w:tl2br w:val="nil"/>
              <w:tr2bl w:val="nil"/>
            </w:tcBorders>
            <w:vAlign w:val="center"/>
          </w:tcPr>
          <w:p>
            <w:pPr>
              <w:widowControl w:val="0"/>
              <w:adjustRightInd w:val="0"/>
              <w:spacing w:after="200" w:line="360" w:lineRule="auto"/>
              <w:jc w:val="center"/>
              <w:rPr>
                <w:rFonts w:ascii="宋体" w:eastAsia="宋体" w:hAnsi="宋体" w:hint="eastAsia"/>
                <w:bCs/>
                <w:kern w:val="2"/>
                <w:sz w:val="21"/>
                <w:szCs w:val="22"/>
                <w:lang w:val="en-US" w:eastAsia="zh-CN" w:bidi="ar-SA"/>
              </w:rPr>
            </w:pPr>
          </w:p>
        </w:tc>
      </w:tr>
    </w:tbl>
    <w:p>
      <w:pPr>
        <w:widowControl w:val="0"/>
        <w:jc w:val="both"/>
        <w:rPr>
          <w:rFonts w:ascii="Calibri" w:eastAsia="宋体" w:hAnsi="Calibri" w:hint="eastAsia"/>
          <w:kern w:val="2"/>
          <w:sz w:val="21"/>
          <w:szCs w:val="22"/>
          <w:lang w:val="en-US" w:eastAsia="zh-CN" w:bidi="ar-SA"/>
        </w:rPr>
      </w:pPr>
    </w:p>
    <w:p>
      <w:pPr>
        <w:widowControl w:val="0"/>
        <w:jc w:val="both"/>
        <w:rPr>
          <w:rFonts w:ascii="Calibri" w:eastAsia="宋体" w:hAnsi="Calibri"/>
          <w:kern w:val="2"/>
          <w:sz w:val="21"/>
          <w:szCs w:val="22"/>
          <w:lang w:val="en-US" w:eastAsia="zh-CN" w:bidi="ar-SA"/>
        </w:rPr>
      </w:pPr>
    </w:p>
    <w:p>
      <w:pPr>
        <w:widowControl w:val="0"/>
        <w:snapToGrid w:val="0"/>
        <w:spacing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注：</w:t>
      </w:r>
    </w:p>
    <w:p>
      <w:pPr>
        <w:widowControl w:val="0"/>
        <w:snapToGrid w:val="0"/>
        <w:spacing w:line="360" w:lineRule="auto"/>
        <w:ind w:firstLine="480" w:firstLineChars="200"/>
        <w:jc w:val="both"/>
        <w:rPr>
          <w:rFonts w:ascii="Calibri" w:eastAsia="宋体" w:hAnsi="Calibri" w:hint="eastAsia"/>
          <w:kern w:val="2"/>
          <w:lang w:val="en-US" w:eastAsia="zh-CN" w:bidi="ar-SA"/>
        </w:rPr>
      </w:pPr>
      <w:r>
        <w:rPr>
          <w:rFonts w:ascii="Calibri" w:eastAsia="宋体" w:hAnsi="Calibri" w:hint="eastAsia"/>
          <w:kern w:val="2"/>
          <w:lang w:val="en-US" w:eastAsia="zh-CN" w:bidi="ar-SA"/>
        </w:rPr>
        <w:t>1. 所报价格须用人民币元表示。</w:t>
      </w:r>
    </w:p>
    <w:p>
      <w:pPr>
        <w:widowControl w:val="0"/>
        <w:snapToGrid w:val="0"/>
        <w:spacing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七、服务承诺函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eastAsia="宋体"/>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eastAsia="宋体"/>
          <w:lang w:val="en-US" w:eastAsia="zh-CN" w:bidi="ar-SA"/>
        </w:rPr>
      </w:pPr>
      <w:r>
        <w:rPr>
          <w:rFonts w:eastAsia="宋体"/>
          <w:lang w:val="en-US" w:eastAsia="zh-CN" w:bidi="ar-SA"/>
        </w:rPr>
        <w:t>我公司承诺：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eastAsia="宋体"/>
          <w:lang w:val="en-US" w:eastAsia="zh-CN" w:bidi="ar-SA"/>
        </w:rPr>
      </w:pPr>
      <w:r>
        <w:rPr>
          <w:rFonts w:eastAsia="宋体"/>
          <w:lang w:val="en-US" w:eastAsia="zh-CN" w:bidi="ar-SA"/>
        </w:rPr>
        <w:t>一、完全理解并响应采购文件当中除评分项外的所有</w:t>
      </w:r>
      <w:r>
        <w:rPr>
          <w:rFonts w:eastAsia="宋体" w:hint="eastAsia"/>
          <w:lang w:val="en-US" w:eastAsia="zh-CN" w:bidi="ar-SA"/>
        </w:rPr>
        <w:t>商务、技术、人员</w:t>
      </w:r>
      <w:r>
        <w:rPr>
          <w:rFonts w:eastAsia="宋体"/>
          <w:lang w:val="en-US" w:eastAsia="zh-CN" w:bidi="ar-SA"/>
        </w:rPr>
        <w:t>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eastAsia="宋体"/>
          <w:lang w:val="en-US" w:eastAsia="zh-CN" w:bidi="ar-SA"/>
        </w:rPr>
      </w:pPr>
      <w:r>
        <w:rPr>
          <w:rFonts w:eastAsia="宋体"/>
          <w:lang w:val="en-US" w:eastAsia="zh-CN" w:bidi="ar-SA"/>
        </w:rPr>
        <w:t>二、如成为中标供应商，将严格按照采购文件规定的时间和各项要求完成本项目。</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eastAsia="宋体"/>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C673AB" w:rsidRPr="00C673AB" w:rsidP="00C673AB">
      <w:pPr>
        <w:widowControl w:val="0"/>
        <w:jc w:val="center"/>
        <w:rPr>
          <w:rFonts w:ascii="Calibri" w:eastAsia="宋体" w:hAnsi="Calibri"/>
          <w:kern w:val="2"/>
          <w:sz w:val="28"/>
          <w:szCs w:val="22"/>
          <w:lang w:val="en-US" w:eastAsia="zh-CN" w:bidi="ar-SA"/>
        </w:rPr>
      </w:pPr>
      <w:r w:rsidRPr="00C673AB">
        <w:rPr>
          <w:rFonts w:ascii="宋体" w:eastAsia="宋体" w:hAnsi="宋体" w:hint="eastAsia"/>
          <w:kern w:val="2"/>
          <w:sz w:val="28"/>
          <w:szCs w:val="22"/>
          <w:lang w:val="en-US" w:eastAsia="zh-CN" w:bidi="ar-SA"/>
        </w:rPr>
        <w:t>中小企业声明函</w:t>
      </w:r>
      <w:r w:rsidRPr="00C673AB">
        <w:rPr>
          <w:rFonts w:ascii="宋体" w:eastAsia="宋体" w:hAnsi="宋体" w:hint="eastAsia"/>
          <w:b/>
          <w:color w:val="FF0000"/>
          <w:kern w:val="2"/>
          <w:sz w:val="28"/>
          <w:szCs w:val="22"/>
          <w:lang w:val="en-US" w:eastAsia="zh-CN" w:bidi="ar-SA"/>
        </w:rPr>
        <w:t>（服务类项目提供此格式）</w:t>
      </w:r>
    </w:p>
    <w:p w:rsidR="00C673AB" w:rsidRPr="00C673AB" w:rsidP="00C673AB">
      <w:pPr>
        <w:widowControl w:val="0"/>
        <w:jc w:val="left"/>
        <w:rPr>
          <w:rFonts w:ascii="宋体" w:eastAsia="宋体" w:hAnsi="宋体"/>
          <w:kern w:val="2"/>
          <w:lang w:val="en-US" w:eastAsia="zh-CN" w:bidi="ar-SA"/>
        </w:rPr>
      </w:pP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hint="eastAsia"/>
          <w:lang w:val="en-US" w:eastAsia="zh-CN" w:bidi="ar-SA"/>
        </w:rPr>
        <w:t>本公司（联合体）郑重声明，根据《政府采购促进中小企业发展管理办法》（财库</w:t>
      </w:r>
      <w:r w:rsidRPr="00C673AB">
        <w:rPr>
          <w:rFonts w:ascii="宋体" w:eastAsia="宋体" w:hAnsi="宋体" w:cs="宋体" w:hint="eastAsia"/>
          <w:lang w:val="en-US" w:eastAsia="zh-CN" w:bidi="ar-SA"/>
        </w:rPr>
        <w:t>﹝</w:t>
      </w:r>
      <w:r w:rsidRPr="00C673AB">
        <w:rPr>
          <w:rFonts w:ascii="宋体" w:eastAsia="宋体" w:hAnsi="宋体" w:cs="宋体"/>
          <w:lang w:val="en-US" w:eastAsia="zh-CN" w:bidi="ar-SA"/>
        </w:rPr>
        <w:t>2020</w:t>
      </w:r>
      <w:r w:rsidRPr="00C673AB">
        <w:rPr>
          <w:rFonts w:ascii="宋体" w:eastAsia="宋体" w:hAnsi="宋体" w:cs="宋体" w:hint="eastAsia"/>
          <w:lang w:val="en-US" w:eastAsia="zh-CN" w:bidi="ar-SA"/>
        </w:rPr>
        <w:t>﹞</w:t>
      </w:r>
      <w:r w:rsidRPr="00C673AB">
        <w:rPr>
          <w:rFonts w:ascii="宋体" w:eastAsia="宋体" w:hAnsi="宋体" w:cs="宋体"/>
          <w:lang w:val="en-US" w:eastAsia="zh-CN" w:bidi="ar-SA"/>
        </w:rPr>
        <w:t xml:space="preserve">46 </w:t>
      </w:r>
      <w:r w:rsidRPr="00C673AB">
        <w:rPr>
          <w:rFonts w:ascii="宋体" w:eastAsia="宋体" w:hAnsi="宋体" w:cs="宋体" w:hint="eastAsia"/>
          <w:lang w:val="en-US" w:eastAsia="zh-CN" w:bidi="ar-SA"/>
        </w:rPr>
        <w:t>号）的规定，本公司（联合体）参加</w:t>
      </w:r>
      <w:r w:rsidRPr="00C673AB">
        <w:rPr>
          <w:rFonts w:ascii="宋体" w:eastAsia="宋体" w:hAnsi="宋体" w:cs="宋体" w:hint="eastAsia"/>
          <w:i/>
          <w:u w:val="single"/>
          <w:lang w:val="en-US" w:eastAsia="zh-CN" w:bidi="ar-SA"/>
        </w:rPr>
        <w:t>（单位名称）</w:t>
      </w:r>
      <w:r w:rsidRPr="00C673AB">
        <w:rPr>
          <w:rFonts w:ascii="宋体" w:eastAsia="宋体" w:hAnsi="宋体" w:cs="宋体" w:hint="eastAsia"/>
          <w:lang w:val="en-US" w:eastAsia="zh-CN" w:bidi="ar-SA"/>
        </w:rPr>
        <w:t>的</w:t>
      </w:r>
      <w:r w:rsidRPr="00C673AB">
        <w:rPr>
          <w:rFonts w:ascii="宋体" w:eastAsia="宋体" w:hAnsi="宋体" w:cs="宋体" w:hint="eastAsia"/>
          <w:i/>
          <w:u w:val="single"/>
          <w:lang w:val="en-US" w:eastAsia="zh-CN" w:bidi="ar-SA"/>
        </w:rPr>
        <w:t>（项目名称）</w:t>
      </w:r>
      <w:r w:rsidRPr="00C673AB">
        <w:rPr>
          <w:rFonts w:ascii="宋体" w:eastAsia="宋体" w:hAnsi="宋体" w:cs="宋体" w:hint="eastAsia"/>
          <w:lang w:val="en-US" w:eastAsia="zh-CN" w:bidi="ar-SA"/>
        </w:rPr>
        <w:t>采购活动，工程的施工单位全部为符合政策要求的中小企业（或者：服务全部由符合政策要求的中小企业承接）。相关企业（含联合体中的中小企业、签订分包意向协议的中小企业）的具体情况如下：</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lang w:val="en-US" w:eastAsia="zh-CN" w:bidi="ar-SA"/>
        </w:rPr>
        <w:t>1.</w:t>
      </w:r>
      <w:r w:rsidRPr="00C673AB">
        <w:rPr>
          <w:rFonts w:ascii="宋体" w:eastAsia="宋体" w:hAnsi="宋体" w:cs="宋体" w:hint="eastAsia"/>
          <w:i/>
          <w:u w:val="single"/>
          <w:lang w:val="en-US" w:eastAsia="zh-CN" w:bidi="ar-SA"/>
        </w:rPr>
        <w:t>（标的名称）</w:t>
      </w:r>
      <w:r w:rsidRPr="00C673AB">
        <w:rPr>
          <w:rFonts w:ascii="宋体" w:eastAsia="宋体" w:hAnsi="宋体" w:cs="宋体"/>
          <w:i/>
          <w:u w:val="single"/>
          <w:lang w:val="en-US" w:eastAsia="zh-CN" w:bidi="ar-SA"/>
        </w:rPr>
        <w:t xml:space="preserve"> </w:t>
      </w:r>
      <w:r w:rsidRPr="00C673AB">
        <w:rPr>
          <w:rFonts w:ascii="宋体" w:eastAsia="宋体" w:hAnsi="宋体" w:cs="宋体" w:hint="eastAsia"/>
          <w:lang w:val="en-US" w:eastAsia="zh-CN" w:bidi="ar-SA"/>
        </w:rPr>
        <w:t>，属于</w:t>
      </w:r>
      <w:r w:rsidRPr="00C673AB">
        <w:rPr>
          <w:rFonts w:ascii="宋体" w:eastAsia="宋体" w:hAnsi="宋体" w:cs="宋体" w:hint="eastAsia"/>
          <w:i/>
          <w:u w:val="single"/>
          <w:lang w:val="en-US" w:eastAsia="zh-CN" w:bidi="ar-SA"/>
        </w:rPr>
        <w:t>（采购文件中明确的所属行业）</w:t>
      </w:r>
      <w:r w:rsidRPr="00C673AB">
        <w:rPr>
          <w:rFonts w:ascii="宋体" w:eastAsia="宋体" w:hAnsi="宋体" w:cs="宋体" w:hint="eastAsia"/>
          <w:lang w:val="en-US" w:eastAsia="zh-CN" w:bidi="ar-SA"/>
        </w:rPr>
        <w:t>；承建（承接）企业为</w:t>
      </w:r>
      <w:r w:rsidRPr="00C673AB">
        <w:rPr>
          <w:rFonts w:ascii="宋体" w:eastAsia="宋体" w:hAnsi="宋体" w:cs="宋体" w:hint="eastAsia"/>
          <w:i/>
          <w:u w:val="single"/>
          <w:lang w:val="en-US" w:eastAsia="zh-CN" w:bidi="ar-SA"/>
        </w:rPr>
        <w:t>（企业名称）</w:t>
      </w:r>
      <w:r w:rsidRPr="00C673AB">
        <w:rPr>
          <w:rFonts w:ascii="宋体" w:eastAsia="宋体" w:hAnsi="宋体" w:cs="宋体" w:hint="eastAsia"/>
          <w:lang w:val="en-US" w:eastAsia="zh-CN" w:bidi="ar-SA"/>
        </w:rPr>
        <w:t>，从业人员</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人，营业收入为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万元，资产总额为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万元，属于（</w:t>
      </w:r>
      <w:r w:rsidRPr="00C673AB">
        <w:rPr>
          <w:rFonts w:ascii="宋体" w:eastAsia="宋体" w:hAnsi="宋体" w:cs="宋体" w:hint="eastAsia"/>
          <w:i/>
          <w:u w:val="single"/>
          <w:lang w:val="en-US" w:eastAsia="zh-CN" w:bidi="ar-SA"/>
        </w:rPr>
        <w:t>中型企业、小型企业、微型企业</w:t>
      </w:r>
      <w:r w:rsidRPr="00C673AB">
        <w:rPr>
          <w:rFonts w:ascii="宋体" w:eastAsia="宋体" w:hAnsi="宋体" w:cs="宋体" w:hint="eastAsia"/>
          <w:lang w:val="en-US" w:eastAsia="zh-CN" w:bidi="ar-SA"/>
        </w:rPr>
        <w:t>）；</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lang w:val="en-US" w:eastAsia="zh-CN" w:bidi="ar-SA"/>
        </w:rPr>
        <w:t>2.</w:t>
      </w:r>
      <w:r w:rsidRPr="00C673AB">
        <w:rPr>
          <w:rFonts w:ascii="宋体" w:eastAsia="宋体" w:hAnsi="宋体" w:cs="宋体" w:hint="eastAsia"/>
          <w:i/>
          <w:u w:val="single"/>
          <w:lang w:val="en-US" w:eastAsia="zh-CN" w:bidi="ar-SA"/>
        </w:rPr>
        <w:t>（标的名称）</w:t>
      </w: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，属于</w:t>
      </w:r>
      <w:r w:rsidRPr="00C673AB">
        <w:rPr>
          <w:rFonts w:ascii="宋体" w:eastAsia="宋体" w:hAnsi="宋体" w:cs="宋体" w:hint="eastAsia"/>
          <w:i/>
          <w:u w:val="single"/>
          <w:lang w:val="en-US" w:eastAsia="zh-CN" w:bidi="ar-SA"/>
        </w:rPr>
        <w:t>（采购文件中明确的所属行业）</w:t>
      </w:r>
      <w:r w:rsidRPr="00C673AB">
        <w:rPr>
          <w:rFonts w:ascii="宋体" w:eastAsia="宋体" w:hAnsi="宋体" w:cs="宋体" w:hint="eastAsia"/>
          <w:lang w:val="en-US" w:eastAsia="zh-CN" w:bidi="ar-SA"/>
        </w:rPr>
        <w:t>；承建（承接）企业为</w:t>
      </w:r>
      <w:r w:rsidRPr="00C673AB">
        <w:rPr>
          <w:rFonts w:ascii="宋体" w:eastAsia="宋体" w:hAnsi="宋体" w:cs="宋体" w:hint="eastAsia"/>
          <w:i/>
          <w:u w:val="single"/>
          <w:lang w:val="en-US" w:eastAsia="zh-CN" w:bidi="ar-SA"/>
        </w:rPr>
        <w:t>（企业名称）</w:t>
      </w:r>
      <w:r w:rsidRPr="00C673AB">
        <w:rPr>
          <w:rFonts w:ascii="宋体" w:eastAsia="宋体" w:hAnsi="宋体" w:cs="宋体" w:hint="eastAsia"/>
          <w:lang w:val="en-US" w:eastAsia="zh-CN" w:bidi="ar-SA"/>
        </w:rPr>
        <w:t>，从业人员</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人，营业收入为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万元，资产总额为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万元，属于</w:t>
      </w:r>
      <w:r w:rsidRPr="00C673AB">
        <w:rPr>
          <w:rFonts w:ascii="宋体" w:eastAsia="宋体" w:hAnsi="宋体" w:cs="宋体" w:hint="eastAsia"/>
          <w:i/>
          <w:u w:val="single"/>
          <w:lang w:val="en-US" w:eastAsia="zh-CN" w:bidi="ar-SA"/>
        </w:rPr>
        <w:t>（中型企业、小型企业、微型企业）</w:t>
      </w:r>
      <w:r w:rsidRPr="00C673AB">
        <w:rPr>
          <w:rFonts w:ascii="宋体" w:eastAsia="宋体" w:hAnsi="宋体" w:cs="宋体" w:hint="eastAsia"/>
          <w:lang w:val="en-US" w:eastAsia="zh-CN" w:bidi="ar-SA"/>
        </w:rPr>
        <w:t>；</w:t>
      </w:r>
    </w:p>
    <w:p w:rsidR="00C673AB" w:rsidRPr="00C673AB" w:rsidP="00C673AB">
      <w:pPr>
        <w:widowControl w:val="0"/>
        <w:autoSpaceDE w:val="0"/>
        <w:autoSpaceDN w:val="0"/>
        <w:adjustRightInd w:val="0"/>
        <w:jc w:val="left"/>
        <w:rPr>
          <w:rFonts w:ascii="FangSong" w:eastAsia="FangSong" w:hAnsi="宋体" w:cs="FangSong"/>
          <w:lang w:val="en-US" w:eastAsia="zh-CN" w:bidi="ar-SA"/>
        </w:rPr>
      </w:pPr>
      <w:r w:rsidRPr="00C673AB">
        <w:rPr>
          <w:rFonts w:ascii="FangSong" w:eastAsia="FangSong" w:hAnsi="宋体" w:cs="FangSong" w:hint="eastAsia"/>
          <w:lang w:val="en-US" w:eastAsia="zh-CN" w:bidi="ar-SA"/>
        </w:rPr>
        <w:t>……</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hint="eastAsia"/>
          <w:lang w:val="en-US" w:eastAsia="zh-CN" w:bidi="ar-SA"/>
        </w:rPr>
        <w:t>以上企业，不属于大企业的分支机构，不存在控股股东为大企业的情形，也不存在与大企业的负责人为同一人的情形。</w:t>
      </w:r>
    </w:p>
    <w:p w:rsidR="00C673AB" w:rsidRPr="00C673AB" w:rsidP="00C673AB">
      <w:pPr>
        <w:widowControl w:val="0"/>
        <w:adjustRightInd w:val="0"/>
        <w:snapToGrid w:val="0"/>
        <w:spacing w:line="360" w:lineRule="auto"/>
        <w:ind w:firstLine="600" w:firstLineChars="250"/>
        <w:jc w:val="both"/>
        <w:rPr>
          <w:rFonts w:ascii="Calibri" w:eastAsia="宋体" w:hAnsi="宋体" w:cs="宋体"/>
          <w:lang w:val="en-US" w:eastAsia="zh-CN" w:bidi="ar-SA"/>
        </w:rPr>
      </w:pPr>
      <w:r w:rsidRPr="00C673AB">
        <w:rPr>
          <w:rFonts w:ascii="宋体" w:eastAsia="宋体" w:hAnsi="宋体" w:cs="宋体" w:hint="eastAsia"/>
          <w:lang w:val="en-US" w:eastAsia="zh-CN" w:bidi="ar-SA"/>
        </w:rPr>
        <w:t>本企业对上述声明内容的真实性负责。如有虚假，将依法承担相应责任。</w:t>
      </w:r>
    </w:p>
    <w:p w:rsidR="00C673AB" w:rsidRPr="00C673AB" w:rsidP="00C673AB">
      <w:pPr>
        <w:widowControl w:val="0"/>
        <w:jc w:val="center"/>
        <w:rPr>
          <w:rFonts w:ascii="宋体" w:eastAsia="宋体" w:hAnsi="宋体" w:cs="宋体" w:hint="eastAsia"/>
          <w:lang w:val="en-US" w:eastAsia="zh-CN" w:bidi="ar-SA"/>
        </w:rPr>
      </w:pP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数字认证证书电子签章：</w:t>
      </w:r>
    </w:p>
    <w:p w:rsidR="00C673AB" w:rsidRPr="00C673AB" w:rsidP="00C673AB">
      <w:pPr>
        <w:widowControl w:val="0"/>
        <w:jc w:val="center"/>
        <w:rPr>
          <w:rFonts w:ascii="宋体" w:eastAsia="宋体" w:hAnsi="宋体" w:cs="宋体" w:hint="eastAsia"/>
          <w:lang w:val="en-US" w:eastAsia="zh-CN" w:bidi="ar-SA"/>
        </w:rPr>
      </w:pP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日期：</w:t>
      </w:r>
    </w:p>
    <w:p w:rsidR="00C673AB" w:rsidRPr="00C673AB" w:rsidP="00C673AB">
      <w:pPr>
        <w:widowControl w:val="0"/>
        <w:jc w:val="left"/>
        <w:rPr>
          <w:rFonts w:ascii="宋体" w:eastAsia="宋体" w:hAnsi="宋体" w:cs="宋体"/>
          <w:b/>
          <w:color w:val="FF0000"/>
          <w:lang w:val="en-US" w:eastAsia="zh-CN" w:bidi="ar-SA"/>
        </w:rPr>
      </w:pPr>
      <w:r w:rsidRPr="00C673AB">
        <w:rPr>
          <w:rFonts w:ascii="宋体" w:eastAsia="宋体" w:hAnsi="宋体" w:cs="宋体" w:hint="eastAsia"/>
          <w:b/>
          <w:color w:val="FF0000"/>
          <w:lang w:val="en-US" w:eastAsia="zh-CN" w:bidi="ar-SA"/>
        </w:rPr>
        <w:t>特别提醒：</w:t>
      </w:r>
    </w:p>
    <w:p w:rsidR="00C673AB" w:rsidRPr="00C673AB" w:rsidP="00C673AB">
      <w:pPr>
        <w:widowControl/>
        <w:adjustRightInd w:val="0"/>
        <w:snapToGrid w:val="0"/>
        <w:spacing w:line="360" w:lineRule="auto"/>
        <w:ind w:left="161" w:leftChars="67"/>
        <w:jc w:val="left"/>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1. </w:t>
      </w:r>
      <w:r w:rsidRPr="00C673AB">
        <w:rPr>
          <w:rFonts w:ascii="宋体" w:eastAsia="宋体" w:hAnsi="宋体" w:cs="宋体" w:hint="eastAsia"/>
          <w:color w:val="FF0000"/>
          <w:lang w:val="en-US" w:eastAsia="zh-CN" w:bidi="ar-SA"/>
        </w:rPr>
        <w:t>从业人员、营业收入、资产总额填报上一年度数据，无上一年度数据的新成立</w:t>
      </w:r>
      <w:r w:rsidRPr="00C673AB">
        <w:rPr>
          <w:rFonts w:ascii="宋体" w:eastAsia="宋体" w:hAnsi="宋体" w:cs="宋体"/>
          <w:color w:val="FF0000"/>
          <w:lang w:val="en-US" w:eastAsia="zh-CN" w:bidi="ar-SA"/>
        </w:rPr>
        <w:t xml:space="preserve"> </w:t>
      </w:r>
      <w:r w:rsidRPr="00C673AB">
        <w:rPr>
          <w:rFonts w:ascii="宋体" w:eastAsia="宋体" w:hAnsi="宋体" w:cs="宋体" w:hint="eastAsia"/>
          <w:color w:val="FF0000"/>
          <w:lang w:val="en-US" w:eastAsia="zh-CN" w:bidi="ar-SA"/>
        </w:rPr>
        <w:t>企业可不填报。</w:t>
      </w:r>
    </w:p>
    <w:p w:rsidR="00C673AB" w:rsidRPr="00C673AB" w:rsidP="00C673AB">
      <w:pPr>
        <w:widowControl/>
        <w:adjustRightInd w:val="0"/>
        <w:snapToGrid w:val="0"/>
        <w:spacing w:line="360" w:lineRule="auto"/>
        <w:ind w:left="161" w:leftChars="67"/>
        <w:jc w:val="left"/>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2. </w:t>
      </w:r>
      <w:r w:rsidRPr="00C673AB">
        <w:rPr>
          <w:rFonts w:ascii="宋体" w:eastAsia="宋体" w:hAnsi="宋体" w:cs="宋体" w:hint="eastAsia"/>
          <w:color w:val="FF0000"/>
          <w:lang w:val="en-US" w:eastAsia="zh-CN" w:bidi="ar-SA"/>
        </w:rPr>
        <w:t>电子签章后，文档不应再修改，否则签章无效；如需修改，请修改后重新签章；</w:t>
      </w:r>
    </w:p>
    <w:p w:rsidR="00C673AB" w:rsidRPr="00C673AB" w:rsidP="00C673AB">
      <w:pPr>
        <w:widowControl w:val="0"/>
        <w:adjustRightInd w:val="0"/>
        <w:snapToGrid w:val="0"/>
        <w:spacing w:line="360" w:lineRule="auto"/>
        <w:ind w:left="161" w:leftChars="67"/>
        <w:jc w:val="left"/>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3. </w:t>
      </w:r>
      <w:r w:rsidRPr="00C673AB">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C673AB" w:rsidRPr="00C673AB" w:rsidP="00C673AB">
      <w:pPr>
        <w:widowControl/>
        <w:spacing w:before="156" w:beforeLines="50" w:after="156" w:afterLines="50" w:line="360" w:lineRule="auto"/>
        <w:ind w:left="120" w:leftChars="50"/>
        <w:contextualSpacing/>
        <w:jc w:val="left"/>
        <w:outlineLvl w:val="2"/>
        <w:rPr>
          <w:rFonts w:ascii="宋体" w:eastAsia="宋体" w:hAnsi="宋体"/>
          <w:kern w:val="2"/>
          <w:lang w:val="en-US" w:eastAsia="zh-CN" w:bidi="ar-SA"/>
        </w:rPr>
      </w:pPr>
      <w:r w:rsidRPr="00C673AB">
        <w:rPr>
          <w:rFonts w:ascii="宋体" w:eastAsia="宋体" w:hAnsi="宋体" w:cs="宋体"/>
          <w:color w:val="FF0000"/>
          <w:lang w:val="en-US" w:eastAsia="zh-CN" w:bidi="ar-SA"/>
        </w:rPr>
        <w:t xml:space="preserve">4. </w:t>
      </w:r>
      <w:r w:rsidRPr="00C673AB">
        <w:rPr>
          <w:rFonts w:ascii="宋体" w:eastAsia="宋体" w:hAnsi="宋体" w:cs="宋体" w:hint="eastAsia"/>
          <w:color w:val="FF0000"/>
          <w:lang w:val="en-US" w:eastAsia="zh-CN" w:bidi="ar-SA"/>
        </w:rPr>
        <w:t>以联合体形式或者合同分包形式参加专门面向中小企业</w:t>
      </w:r>
      <w:r w:rsidRPr="00C673AB">
        <w:rPr>
          <w:rFonts w:ascii="宋体" w:eastAsia="宋体" w:hAnsi="宋体" w:cs="宋体"/>
          <w:color w:val="FF0000"/>
          <w:lang w:val="en-US" w:eastAsia="zh-CN" w:bidi="ar-SA"/>
        </w:rPr>
        <w:t>/</w:t>
      </w:r>
      <w:r w:rsidRPr="00C673AB">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C673AB" w:rsidRPr="00C673AB" w:rsidP="00C673AB">
      <w:pPr>
        <w:widowControl/>
        <w:spacing w:before="156" w:beforeLines="50" w:after="156" w:afterLines="50"/>
        <w:contextualSpacing/>
        <w:jc w:val="center"/>
        <w:outlineLvl w:val="2"/>
        <w:rPr>
          <w:rFonts w:ascii="宋体" w:eastAsia="宋体" w:hAnsi="宋体"/>
          <w:kern w:val="2"/>
          <w:sz w:val="28"/>
          <w:szCs w:val="28"/>
          <w:lang w:val="en-US" w:eastAsia="zh-CN" w:bidi="ar-SA"/>
        </w:rPr>
      </w:pPr>
      <w:r w:rsidRPr="00C673AB">
        <w:rPr>
          <w:rFonts w:ascii="宋体" w:eastAsia="宋体" w:hAnsi="宋体" w:hint="eastAsia"/>
          <w:kern w:val="2"/>
          <w:sz w:val="28"/>
          <w:szCs w:val="28"/>
          <w:lang w:val="en-US" w:eastAsia="zh-CN" w:bidi="ar-SA"/>
        </w:rPr>
        <w:t>监狱企业证明函</w:t>
      </w:r>
    </w:p>
    <w:p w:rsidR="00C673AB" w:rsidRPr="00C673AB" w:rsidP="00C673AB">
      <w:pPr>
        <w:widowControl/>
        <w:spacing w:before="156" w:beforeLines="50" w:after="156" w:afterLines="50" w:line="480" w:lineRule="exact"/>
        <w:ind w:firstLine="645"/>
        <w:jc w:val="left"/>
        <w:outlineLvl w:val="2"/>
        <w:rPr>
          <w:rFonts w:ascii="宋体" w:eastAsia="宋体" w:hAnsi="宋体" w:cs="宋体"/>
          <w:lang w:val="en-US" w:eastAsia="zh-CN" w:bidi="ar-SA"/>
        </w:rPr>
      </w:pPr>
      <w:r w:rsidRPr="00C673AB">
        <w:rPr>
          <w:rFonts w:ascii="宋体" w:eastAsia="宋体" w:hAnsi="宋体" w:cs="宋体" w:hint="eastAsia"/>
          <w:lang w:val="en-US" w:eastAsia="zh-CN" w:bidi="ar-SA"/>
        </w:rPr>
        <w:t>根据《财政部 司法部关于政府采购支持监狱企业发展有关问题的通知》（财库[2014]68号）的规定，</w:t>
      </w:r>
      <w:r w:rsidRPr="00C673AB">
        <w:rPr>
          <w:rFonts w:ascii="宋体" w:eastAsia="宋体" w:hAnsi="宋体" w:cs="宋体" w:hint="eastAsia"/>
          <w:u w:val="single"/>
          <w:lang w:val="en-US" w:eastAsia="zh-CN" w:bidi="ar-SA"/>
        </w:rPr>
        <w:t xml:space="preserve">          （填写供应商法定全称）</w:t>
      </w:r>
      <w:r w:rsidRPr="00C673AB">
        <w:rPr>
          <w:rFonts w:ascii="宋体" w:eastAsia="宋体" w:hAnsi="宋体" w:cs="宋体" w:hint="eastAsia"/>
          <w:lang w:val="en-US" w:eastAsia="zh-CN" w:bidi="ar-SA"/>
        </w:rPr>
        <w:t>为监狱企业。</w:t>
      </w:r>
    </w:p>
    <w:p w:rsidR="00C673AB" w:rsidRPr="00C673AB" w:rsidP="00C673AB">
      <w:pPr>
        <w:widowControl/>
        <w:spacing w:before="156" w:beforeLines="50" w:after="156" w:afterLines="50" w:line="480" w:lineRule="exact"/>
        <w:ind w:firstLine="645"/>
        <w:jc w:val="left"/>
        <w:outlineLvl w:val="2"/>
        <w:rPr>
          <w:rFonts w:ascii="宋体" w:eastAsia="宋体" w:hAnsi="宋体" w:cs="宋体"/>
          <w:lang w:val="en-US" w:eastAsia="zh-CN" w:bidi="ar-SA"/>
        </w:rPr>
      </w:pPr>
      <w:r w:rsidRPr="00C673AB">
        <w:rPr>
          <w:rFonts w:ascii="宋体" w:eastAsia="宋体" w:hAnsi="宋体" w:cs="宋体" w:hint="eastAsia"/>
          <w:lang w:val="en-US" w:eastAsia="zh-CN" w:bidi="ar-SA"/>
        </w:rPr>
        <w:t>特此证明。</w:t>
      </w:r>
    </w:p>
    <w:p w:rsidR="00C673AB" w:rsidRPr="00C673AB" w:rsidP="00C673AB">
      <w:pPr>
        <w:widowControl/>
        <w:spacing w:before="156" w:beforeLines="50" w:after="156" w:afterLines="50" w:line="480" w:lineRule="exact"/>
        <w:ind w:firstLine="1440" w:firstLineChars="600"/>
        <w:jc w:val="left"/>
        <w:outlineLvl w:val="2"/>
        <w:rPr>
          <w:rFonts w:ascii="宋体" w:eastAsia="宋体" w:hAnsi="宋体" w:cs="宋体"/>
          <w:lang w:val="en-US" w:eastAsia="zh-CN" w:bidi="ar-SA"/>
        </w:rPr>
      </w:pPr>
    </w:p>
    <w:p w:rsidR="00C673AB" w:rsidRPr="00C673AB" w:rsidP="00C673AB">
      <w:pPr>
        <w:widowControl/>
        <w:spacing w:before="156" w:beforeLines="50" w:after="156" w:afterLines="50" w:line="480" w:lineRule="exact"/>
        <w:ind w:firstLine="720" w:firstLineChars="300"/>
        <w:jc w:val="left"/>
        <w:outlineLvl w:val="2"/>
        <w:rPr>
          <w:rFonts w:ascii="宋体" w:eastAsia="宋体" w:hAnsi="宋体" w:cs="宋体"/>
          <w:lang w:val="en-US" w:eastAsia="zh-CN" w:bidi="ar-SA"/>
        </w:rPr>
      </w:pPr>
      <w:r w:rsidRPr="00C673AB">
        <w:rPr>
          <w:rFonts w:ascii="宋体" w:eastAsia="宋体" w:hAnsi="宋体" w:cs="宋体" w:hint="eastAsia"/>
          <w:lang w:val="en-US" w:eastAsia="zh-CN" w:bidi="ar-SA"/>
        </w:rPr>
        <w:t>省级以上监狱管理局、戒毒管理局（含新疆生产建设兵团）（盖章）：</w:t>
      </w:r>
    </w:p>
    <w:p w:rsidR="00C673AB" w:rsidRPr="00C673AB" w:rsidP="00C673AB">
      <w:pPr>
        <w:widowControl/>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Pr>
          <w:rFonts w:ascii="宋体" w:eastAsia="宋体" w:hAnsi="宋体" w:cs="宋体" w:hint="eastAsia"/>
          <w:lang w:val="en-US" w:eastAsia="zh-CN" w:bidi="ar-SA"/>
        </w:rPr>
        <w:t xml:space="preserve">                                    </w:t>
      </w:r>
      <w:r w:rsidRPr="00C673AB">
        <w:rPr>
          <w:rFonts w:ascii="宋体" w:eastAsia="宋体" w:hAnsi="宋体" w:cs="宋体" w:hint="eastAsia"/>
          <w:lang w:val="en-US" w:eastAsia="zh-CN" w:bidi="ar-SA"/>
        </w:rPr>
        <w:t>日  期：</w:t>
      </w:r>
    </w:p>
    <w:p w:rsidR="00C673AB" w:rsidRPr="00C673AB" w:rsidP="00C673AB">
      <w:pPr>
        <w:widowControl/>
        <w:adjustRightInd w:val="0"/>
        <w:snapToGrid w:val="0"/>
        <w:spacing w:line="360" w:lineRule="auto"/>
        <w:ind w:left="161" w:leftChars="67"/>
        <w:jc w:val="both"/>
        <w:rPr>
          <w:rFonts w:ascii="宋体" w:eastAsia="宋体" w:hAnsi="宋体" w:cs="宋体"/>
          <w:lang w:val="en-US" w:eastAsia="zh-CN" w:bidi="ar-SA"/>
        </w:rPr>
      </w:pPr>
    </w:p>
    <w:p w:rsidR="00C673AB" w:rsidRPr="00C673AB" w:rsidP="00C673AB">
      <w:pPr>
        <w:widowControl w:val="0"/>
        <w:adjustRightInd w:val="0"/>
        <w:snapToGrid w:val="0"/>
        <w:spacing w:line="360" w:lineRule="auto"/>
        <w:jc w:val="both"/>
        <w:rPr>
          <w:rFonts w:ascii="Calibri" w:eastAsia="宋体" w:hAnsi="Calibri"/>
          <w:kern w:val="2"/>
          <w:lang w:val="en-US" w:eastAsia="zh-CN" w:bidi="ar-SA"/>
        </w:rPr>
      </w:pPr>
    </w:p>
    <w:p w:rsidR="00C673AB" w:rsidRPr="00C673AB" w:rsidP="00C673AB">
      <w:pPr>
        <w:widowControl/>
        <w:jc w:val="left"/>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C673AB" w:rsidRPr="00C673AB" w:rsidP="00C673AB">
      <w:pPr>
        <w:widowControl w:val="0"/>
        <w:jc w:val="center"/>
        <w:rPr>
          <w:rFonts w:ascii="宋体" w:eastAsia="宋体" w:hAnsi="宋体"/>
          <w:kern w:val="2"/>
          <w:sz w:val="28"/>
          <w:szCs w:val="28"/>
          <w:lang w:val="en-US" w:eastAsia="zh-CN" w:bidi="ar-SA"/>
        </w:rPr>
      </w:pPr>
      <w:bookmarkStart w:id="58" w:name="OLE_LINK14"/>
      <w:bookmarkStart w:id="59" w:name="OLE_LINK13"/>
      <w:r w:rsidRPr="00C673AB">
        <w:rPr>
          <w:rFonts w:ascii="宋体" w:eastAsia="宋体" w:hAnsi="宋体" w:hint="eastAsia"/>
          <w:kern w:val="2"/>
          <w:sz w:val="28"/>
          <w:szCs w:val="28"/>
          <w:lang w:val="en-US" w:eastAsia="zh-CN" w:bidi="ar-SA"/>
        </w:rPr>
        <w:t>残疾人福利性单位声明函</w:t>
      </w:r>
    </w:p>
    <w:p w:rsidR="00C673AB" w:rsidRPr="00C673AB" w:rsidP="00C673AB">
      <w:pPr>
        <w:widowControl w:val="0"/>
        <w:spacing w:line="588" w:lineRule="exact"/>
        <w:jc w:val="both"/>
        <w:rPr>
          <w:rFonts w:ascii="仿宋_GB2312" w:eastAsia="仿宋_GB2312" w:hAnsi="宋体"/>
          <w:b/>
          <w:spacing w:val="6"/>
          <w:kern w:val="2"/>
          <w:sz w:val="30"/>
          <w:szCs w:val="30"/>
          <w:lang w:val="en-US" w:eastAsia="zh-CN" w:bidi="ar-SA"/>
        </w:rPr>
      </w:pPr>
      <w:bookmarkEnd w:id="58"/>
      <w:bookmarkEnd w:id="59"/>
    </w:p>
    <w:p w:rsidR="00C673AB" w:rsidRPr="00C673AB" w:rsidP="00C673AB">
      <w:pPr>
        <w:widowControl/>
        <w:adjustRightInd w:val="0"/>
        <w:snapToGrid w:val="0"/>
        <w:spacing w:line="360" w:lineRule="auto"/>
        <w:ind w:left="142"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673AB" w:rsidRPr="00C673AB" w:rsidP="00C673AB">
      <w:pPr>
        <w:widowControl/>
        <w:adjustRightInd w:val="0"/>
        <w:snapToGrid w:val="0"/>
        <w:spacing w:line="360" w:lineRule="auto"/>
        <w:ind w:left="142"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本单位对上述声明的真实性负责。如有虚假，将依法承担相应责任。</w:t>
      </w:r>
    </w:p>
    <w:p w:rsidR="00C673AB" w:rsidRPr="00C673AB" w:rsidP="00C673AB">
      <w:pPr>
        <w:widowControl/>
        <w:adjustRightInd w:val="0"/>
        <w:snapToGrid w:val="0"/>
        <w:spacing w:line="360" w:lineRule="auto"/>
        <w:ind w:left="142" w:firstLine="480" w:firstLineChars="200"/>
        <w:jc w:val="both"/>
        <w:rPr>
          <w:rFonts w:ascii="宋体" w:eastAsia="宋体" w:hAnsi="宋体" w:cs="宋体"/>
          <w:lang w:val="en-US" w:eastAsia="zh-CN" w:bidi="ar-SA"/>
        </w:rPr>
      </w:pPr>
    </w:p>
    <w:p w:rsidR="00C673AB" w:rsidRPr="00C673AB" w:rsidP="00C673AB">
      <w:pPr>
        <w:widowControl/>
        <w:adjustRightInd w:val="0"/>
        <w:snapToGrid w:val="0"/>
        <w:spacing w:line="360" w:lineRule="auto"/>
        <w:ind w:left="142" w:firstLine="480" w:firstLineChars="200"/>
        <w:jc w:val="both"/>
        <w:rPr>
          <w:rFonts w:ascii="宋体" w:eastAsia="宋体" w:hAnsi="宋体" w:cs="宋体"/>
          <w:lang w:val="en-US" w:eastAsia="zh-CN" w:bidi="ar-SA"/>
        </w:rPr>
      </w:pP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hint="eastAsia"/>
          <w:lang w:val="en-US" w:eastAsia="zh-CN" w:bidi="ar-SA"/>
        </w:rPr>
        <w:t xml:space="preserve">                   数字认证证书电子签章：</w:t>
      </w: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hint="eastAsia"/>
          <w:lang w:val="en-US" w:eastAsia="zh-CN" w:bidi="ar-SA"/>
        </w:rPr>
        <w:t xml:space="preserve">                  日期：</w:t>
      </w:r>
    </w:p>
    <w:p w:rsidR="00C673AB" w:rsidRPr="00C673AB" w:rsidP="00C673AB">
      <w:pPr>
        <w:widowControl w:val="0"/>
        <w:jc w:val="left"/>
        <w:rPr>
          <w:rFonts w:ascii="宋体" w:eastAsia="宋体" w:hAnsi="宋体" w:cs="宋体"/>
          <w:b/>
          <w:lang w:val="en-US" w:eastAsia="zh-CN" w:bidi="ar-SA"/>
        </w:rPr>
      </w:pPr>
    </w:p>
    <w:p w:rsidR="00C673AB" w:rsidRPr="00C673AB" w:rsidP="00C673AB">
      <w:pPr>
        <w:widowControl w:val="0"/>
        <w:jc w:val="left"/>
        <w:rPr>
          <w:rFonts w:ascii="宋体" w:eastAsia="宋体" w:hAnsi="宋体" w:cs="宋体"/>
          <w:b/>
          <w:lang w:val="en-US" w:eastAsia="zh-CN" w:bidi="ar-SA"/>
        </w:rPr>
      </w:pPr>
    </w:p>
    <w:p w:rsidR="00C673AB" w:rsidRPr="00C673AB" w:rsidP="00C673AB">
      <w:pPr>
        <w:widowControl w:val="0"/>
        <w:spacing w:line="360" w:lineRule="auto"/>
        <w:jc w:val="left"/>
        <w:rPr>
          <w:rFonts w:ascii="宋体" w:eastAsia="宋体" w:hAnsi="宋体" w:cs="宋体"/>
          <w:b/>
          <w:lang w:val="en-US" w:eastAsia="zh-CN" w:bidi="ar-SA"/>
        </w:rPr>
      </w:pPr>
      <w:r w:rsidRPr="00C673AB">
        <w:rPr>
          <w:rFonts w:ascii="宋体" w:eastAsia="宋体" w:hAnsi="宋体" w:cs="宋体" w:hint="eastAsia"/>
          <w:b/>
          <w:lang w:val="en-US" w:eastAsia="zh-CN" w:bidi="ar-SA"/>
        </w:rPr>
        <w:t>特别提醒：</w:t>
      </w:r>
    </w:p>
    <w:p w:rsidR="00C673AB" w:rsidRPr="00C673AB" w:rsidP="00C673AB">
      <w:pPr>
        <w:widowControl w:val="0"/>
        <w:spacing w:line="360" w:lineRule="auto"/>
        <w:jc w:val="left"/>
        <w:rPr>
          <w:rFonts w:ascii="宋体" w:eastAsia="宋体" w:hAnsi="宋体" w:cs="宋体"/>
          <w:lang w:val="en-US" w:eastAsia="zh-CN" w:bidi="ar-SA"/>
        </w:rPr>
      </w:pPr>
      <w:r w:rsidRPr="00C673AB">
        <w:rPr>
          <w:rFonts w:ascii="宋体" w:eastAsia="宋体" w:hAnsi="宋体" w:cs="宋体" w:hint="eastAsia"/>
          <w:lang w:val="en-US" w:eastAsia="zh-CN" w:bidi="ar-SA"/>
        </w:rPr>
        <w:t>1. 电子签章后，文档不应再修改，否则签章无效；如需修改，请修改后重新签章。</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2. 该声明函将随中标结果同时公告，接受社会监督。</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3. 享受政府采购支持政策的残疾人福利性单位应当同时满足以下条件：</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（1）安置的残疾人占本单位在职职工人数的比例不低于25%（含25%），并且安置的残疾人人数不少于10人（含10人）；</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（2）依法与安置的每位残疾人签订了一年以上（含一年）的劳动合同或服务协议；</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C673AB" w:rsidRPr="00C673AB" w:rsidP="00C673AB">
      <w:pPr>
        <w:widowControl w:val="0"/>
        <w:spacing w:line="360" w:lineRule="auto"/>
        <w:ind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673AB" w:rsidRPr="00C673AB" w:rsidP="00C673AB">
      <w:pPr>
        <w:widowControl w:val="0"/>
        <w:jc w:val="both"/>
        <w:rPr>
          <w:rFonts w:ascii="Calibri" w:eastAsia="宋体" w:hAnsi="Calibri"/>
          <w:kern w:val="2"/>
          <w:sz w:val="21"/>
          <w:szCs w:val="22"/>
          <w:lang w:val="en-US" w:eastAsia="zh-CN" w:bidi="ar-SA"/>
        </w:rPr>
      </w:pPr>
    </w:p>
    <w:p w:rsidR="00C673AB" w:rsidRPr="00C673AB" w:rsidP="00C673AB">
      <w:pPr>
        <w:widowControl w:val="0"/>
        <w:spacing w:line="360" w:lineRule="auto"/>
        <w:ind w:left="120" w:leftChars="50"/>
        <w:jc w:val="both"/>
        <w:rPr>
          <w:rFonts w:ascii="宋体" w:eastAsia="宋体" w:hAnsi="宋体"/>
          <w:kern w:val="2"/>
          <w:szCs w:val="22"/>
          <w:lang w:val="en-US" w:eastAsia="zh-CN" w:bidi="ar-SA"/>
        </w:rPr>
      </w:pPr>
    </w:p>
    <w:p w:rsidR="00B16203" w:rsidRPr="00C673AB">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16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06"/>
        <w:gridCol w:w="1441"/>
        <w:gridCol w:w="1441"/>
        <w:gridCol w:w="941"/>
        <w:gridCol w:w="1940"/>
        <w:gridCol w:w="1453"/>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474"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160" w:line="259"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tc>
        <w:tc>
          <w:tcPr>
            <w:tcW w:w="1785"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160" w:line="259"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785"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160" w:line="259" w:lineRule="auto"/>
              <w:jc w:val="center"/>
              <w:rPr>
                <w:rFonts w:ascii="黑体" w:eastAsia="黑体" w:hAnsi="宋体" w:hint="eastAsia"/>
                <w:bCs/>
                <w:kern w:val="2"/>
                <w:lang w:val="en-US" w:eastAsia="zh-CN" w:bidi="ar-SA"/>
              </w:rPr>
            </w:pPr>
            <w:r>
              <w:rPr>
                <w:rFonts w:ascii="黑体" w:eastAsia="黑体" w:hAnsi="宋体" w:hint="eastAsia"/>
                <w:bCs/>
                <w:kern w:val="2"/>
                <w:lang w:val="en-US" w:eastAsia="zh-CN" w:bidi="ar-SA"/>
              </w:rPr>
              <w:t>服务内容</w:t>
            </w:r>
          </w:p>
        </w:tc>
        <w:tc>
          <w:tcPr>
            <w:tcW w:w="1260"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160" w:line="259"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2310"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160" w:line="259"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813"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160" w:line="259"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p>
            <w:pPr>
              <w:widowControl w:val="0"/>
              <w:snapToGrid w:val="0"/>
              <w:spacing w:after="160" w:line="259"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12"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12" w:space="0" w:color="auto"/>
              <w:right w:val="single" w:sz="4" w:space="0" w:color="auto"/>
            </w:tcBorders>
          </w:tcPr>
          <w:p>
            <w:pPr>
              <w:widowControl w:val="0"/>
              <w:spacing w:after="16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12"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12"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12" w:space="0" w:color="auto"/>
              <w:right w:val="single" w:sz="4"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12" w:space="0" w:color="auto"/>
              <w:right w:val="single" w:sz="12" w:space="0" w:color="auto"/>
            </w:tcBorders>
            <w:vAlign w:val="center"/>
          </w:tcPr>
          <w:p>
            <w:pPr>
              <w:widowControl w:val="0"/>
              <w:spacing w:after="160" w:line="720" w:lineRule="auto"/>
              <w:jc w:val="center"/>
              <w:rPr>
                <w:rFonts w:ascii="宋体" w:eastAsia="宋体" w:hAnsi="宋体"/>
                <w:kern w:val="2"/>
                <w:u w:val="single"/>
                <w:lang w:val="en-US" w:eastAsia="zh-CN" w:bidi="ar-SA"/>
              </w:rPr>
            </w:pPr>
          </w:p>
        </w:tc>
      </w:tr>
    </w:tbl>
    <w:p>
      <w:pPr>
        <w:widowControl w:val="0"/>
        <w:spacing w:after="160" w:line="259"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：须提供合同首页、合同标的页、签字盖章页扫描件，服务单位盖章出具的评价材料扫描件，如评价表、表扬信、感谢信等能体现服务水平和质量的证明材料。</w:t>
      </w:r>
    </w:p>
    <w:p>
      <w:pPr>
        <w:widowControl w:val="0"/>
        <w:spacing w:after="16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160" w:line="259" w:lineRule="auto"/>
        <w:jc w:val="both"/>
        <w:rPr>
          <w:rFonts w:ascii="Calibri" w:eastAsia="宋体" w:hAnsi="Calibri"/>
          <w:kern w:val="2"/>
          <w:sz w:val="21"/>
          <w:szCs w:val="22"/>
          <w:lang w:val="en-US" w:eastAsia="zh-CN" w:bidi="ar-SA"/>
        </w:rPr>
      </w:pPr>
    </w:p>
    <w:p>
      <w:pPr>
        <w:widowControl w:val="0"/>
        <w:spacing w:after="160" w:line="259"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十、项目组织实施方案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针对本项目提出项目组织实施方案，包括：</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1. 针对本项目的理解和工作思路，分析可能遇到的服务重难点问题，并提出相应解决措施；</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2. 针对本项目的管理模式和管理机制，包括：机构设置、岗位责任制度、服务沟通机制、安全制度、考勤制度、值班制度、工作记录及档案管理（包括交接验收资料、巡视记录、投诉与处理记录、其它管理与服务活动记录）等；</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3. 针对本项目的突发事件处理方案与各类应急预案；</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4. 为承接本项目所需的装备计划，包括拟投入的设备设施和低值易耗品等；</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5. 针对本项目的人员录用与考核制度，包括人员录用与考核标准、淘汰机制、量化管理方法等；</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6. 针对本项目的人员培训计划、方式、内容，包括业务培训、思想教育等；</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7. 针对本项目的人员稳定性方案，包括人员流动率承诺、人员更换管理方案、稳定性保障方案等；</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宋体" w:eastAsia="宋体" w:hAnsi="宋体" w:cs="宋体" w:hint="eastAsia"/>
          <w:lang w:val="en-US" w:eastAsia="zh-CN" w:bidi="ar"/>
        </w:rPr>
      </w:pPr>
      <w:r>
        <w:rPr>
          <w:rFonts w:ascii="宋体" w:eastAsia="宋体" w:hAnsi="宋体" w:cs="宋体" w:hint="eastAsia"/>
          <w:lang w:val="en-US" w:eastAsia="zh-CN" w:bidi="ar"/>
        </w:rPr>
        <w:t>8. 针对本项目的资源能源节约方案；</w:t>
      </w:r>
    </w:p>
    <w:p>
      <w:pPr>
        <w:keepNext w:val="0"/>
        <w:keepLines w:val="0"/>
        <w:pageBreakBefore w:val="0"/>
        <w:widowControl/>
        <w:suppressLineNumbers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0" w:firstLine="480" w:firstLineChars="200"/>
        <w:jc w:val="left"/>
        <w:textAlignment w:val="auto"/>
        <w:rPr>
          <w:rFonts w:ascii="微软雅黑" w:eastAsia="微软雅黑" w:hAnsi="微软雅黑" w:cs="微软雅黑"/>
          <w:color w:val="1F3149"/>
          <w:lang w:val="en-US" w:eastAsia="zh-CN" w:bidi="ar"/>
        </w:rPr>
      </w:pPr>
      <w:r>
        <w:rPr>
          <w:rFonts w:ascii="宋体" w:eastAsia="宋体" w:hAnsi="宋体" w:cs="宋体" w:hint="eastAsia"/>
          <w:lang w:val="en-US" w:eastAsia="zh-CN" w:bidi="ar"/>
        </w:rPr>
        <w:t>9. 针对本项目的保密工作方案。</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ascii="宋体" w:eastAsia="宋体" w:hAnsi="宋体" w:cs="宋体" w:hint="eastAsia"/>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十一、物业服务方案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zh-CN" w:bidi="ar-SA"/>
        </w:rPr>
        <w:t>针对本项目</w:t>
      </w:r>
      <w:r>
        <w:rPr>
          <w:rFonts w:ascii="Calibri" w:eastAsia="宋体" w:hAnsi="Calibri" w:hint="eastAsia"/>
          <w:lang w:val="en-US" w:eastAsia="en-US" w:bidi="ar-SA"/>
        </w:rPr>
        <w:t>提供物业服务方案，包括：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1.会议服务方案；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2.绿化养护服务方案；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3.房屋建筑的日常维护方案；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4.供电系统管理维护方案；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5.给排水系统维护方案；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6.空调、通排风、供暖等系统运行维护方案；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7.人防设施设备的维护方案；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8.电梯系统日常维护方案；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alibri" w:eastAsia="宋体" w:hAnsi="Calibri" w:hint="eastAsia"/>
          <w:lang w:val="en-US" w:eastAsia="en-US" w:bidi="ar-SA"/>
        </w:rPr>
      </w:pPr>
      <w:r>
        <w:rPr>
          <w:rFonts w:ascii="Calibri" w:eastAsia="宋体" w:hAnsi="Calibri" w:hint="eastAsia"/>
          <w:lang w:val="en-US" w:eastAsia="en-US" w:bidi="ar-SA"/>
        </w:rPr>
        <w:t>9.保洁服务方案。</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十二、项目团队</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Calibri" w:eastAsia="宋体" w:hAnsi="Calibri"/>
          <w:lang w:val="en-US" w:eastAsia="en-US" w:bidi="ar-SA"/>
        </w:rPr>
      </w:pPr>
      <w:r>
        <w:rPr>
          <w:rFonts w:ascii="Calibri" w:eastAsia="宋体" w:hAnsi="Calibri" w:hint="eastAsia"/>
          <w:lang w:val="en-US" w:eastAsia="zh-CN" w:bidi="ar-SA"/>
        </w:rPr>
        <w:t>提供项目管理人员的学历等相关证书扫描件，所在公司或项目使用单位出具的经验证明（加盖公章）。</w:t>
      </w:r>
      <w:r>
        <w:rPr>
          <w:rFonts w:ascii="Calibri" w:eastAsia="宋体" w:hAnsi="Calibri" w:hint="eastAsia"/>
          <w:lang w:val="en-US" w:eastAsia="en-US" w:bidi="ar-SA"/>
        </w:rPr>
        <w:t>另需提供近半年内任意一个月在本公司缴纳社保的证明</w:t>
      </w:r>
      <w:r>
        <w:rPr>
          <w:rFonts w:ascii="Calibri" w:eastAsia="宋体" w:hAnsi="Calibri" w:hint="eastAsia"/>
          <w:lang w:val="en-US" w:eastAsia="zh-CN" w:bidi="ar-SA"/>
        </w:rPr>
        <w:t>。</w:t>
      </w:r>
      <w:r>
        <w:rPr>
          <w:rFonts w:ascii="Calibri" w:eastAsia="宋体" w:hAnsi="Calibri"/>
          <w:lang w:val="en-US" w:eastAsia="en-US" w:bidi="ar-SA"/>
        </w:rPr>
        <w:t xml:space="preserve">  </w:t>
      </w:r>
    </w:p>
    <w:p>
      <w:pPr>
        <w:widowControl w:val="0"/>
        <w:jc w:val="both"/>
        <w:rPr>
          <w:rFonts w:ascii="Calibri" w:eastAsia="宋体" w:hAnsi="Calibri"/>
          <w:sz w:val="21"/>
          <w:szCs w:val="22"/>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0" w:name="_Toc256000005"/>
      <w:r>
        <w:rPr>
          <w:rFonts w:ascii="黑体" w:eastAsia="黑体" w:hAnsi="黑体" w:cs="黑体"/>
          <w:bCs/>
          <w:iCs/>
          <w:color w:val="000000"/>
          <w:sz w:val="28"/>
          <w:szCs w:val="28"/>
          <w:lang w:val="en-US" w:eastAsia="en-US" w:bidi="ar-SA"/>
        </w:rPr>
        <w:t>第四部分 资格审查项、符合性检查项及评分标准</w:t>
      </w:r>
      <w:bookmarkEnd w:id="60"/>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3.服务承诺函</w:t>
      </w:r>
    </w:p>
    <w:p w:rsidR="00A77B3E">
      <w:pPr>
        <w:spacing w:line="360" w:lineRule="auto"/>
        <w:jc w:val="both"/>
        <w:rPr>
          <w:rFonts w:ascii="宋体" w:eastAsia="宋体" w:hAnsi="宋体" w:cs="宋体"/>
          <w:lang w:val="en-US" w:eastAsia="en-US" w:bidi="ar-SA"/>
        </w:rPr>
      </w:pPr>
    </w:p>
    <w:p w:rsidR="00A77B3E">
      <w:pPr>
        <w:spacing w:line="360" w:lineRule="auto"/>
        <w:jc w:val="left"/>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vAlign w:val="center"/>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vAlign w:val="center"/>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vAlign w:val="center"/>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vAlign w:val="center"/>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vAlign w:val="center"/>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2022年11月1日至投标截止日前，投标人承担的物业服务项目案例，须提供合同及服务单位出具的评价材料（表扬信、感谢信，或评价为良好、较好及以上，或打分80分及以上），每有1个得2分，最高得4分。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【证明材料：合同首页、合同标的页、签字盖章页扫描件，服务单位盖章出具的评价材料扫描件】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tcPr>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针对本项目制定项目实施方案，内容包括：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1.针对本项目的理解和工作思路，分析可能遇到的服务重难点问题，并提出相应解决措施；</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针对本项目的管理模式和管理机制，包括：机构设置、岗位责任制度、服务沟通机制、安全制度、考勤制度、值班制度、工作记录及档案管理（包括交接验收资料、巡视记录、投诉与处理记录、其它管理与服务活动记录）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3.针对本项目的突发事件处理方案与各类应急预案；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4.提交承接本项目所需的装备计划，包括拟投入的设备设施、低值易耗品、维修及养护耗材等；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5.针对本项目的人员录用与考核制度，包括人员录用与考核标准、淘汰机制、量化管理方法等；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6.针对本项目的人员培训计划、方式、内容，包括业务培训、思想教育等；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7.针对本项目的人员稳定性方案，包括人员流动率承诺、人员更换管理方案、稳定性保障方案等；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8.针对本项目的资源能源节约方案；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9.针对本项目的保密工作方案。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每部分提供且符合项目要求得3分,最高得27分。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0～27</w:t>
            </w:r>
          </w:p>
        </w:tc>
        <w:tc>
          <w:tcPr>
            <w:tcW w:w="1208" w:type="dxa"/>
            <w:vMerge w:val="restart"/>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充分理解采购需求，工作思路符合项目实际，重点把握准确，方案可操作性强，提供优质高效的管理模式和管理机制，详尽的人员录用和考核制度，有针对性的资源能源节约方案，全方位的保密工作方案，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2.充分理解采购需求，工作思路基本符合项目实际，重点把握较准确，方案可操作，提供有针对性的管理模式和管理机制，详细的人员录用和考核制度，较好的资源能源节约方案，有效的保密工作方案，得4分；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3.基本理解需求，工作思路部分符合实际，能够把握部分重点，提供较好的管理模式和管理机制，人员录用和考核制度、资源能源节约方案一般，保密工作方案一般，得2分；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4.需求理解有偏差，工作思路不符合实际，管理模式和机制针对性不强，人员管理方案不完善，资源能源节约方案不详细，保密工作方案有疏漏，得0分。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物业服务方案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针对本项目提供物业服务方案，包括：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1.会议服务方案；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2.绿化养护服务方案；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3.房屋建筑的日常维护方案；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4.供电系统管理维护方案；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5.给排水系统维护方案；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6.空调、通排风、供暖等系统运行维护方案；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7.人防设施设备的维护方案；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8.电梯系统日常维护方案；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9.保洁服务方案。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每部分提供且符合招标文件要求得3分,最高得27分。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0～27</w:t>
            </w:r>
          </w:p>
        </w:tc>
        <w:tc>
          <w:tcPr>
            <w:tcW w:w="1208" w:type="dxa"/>
            <w:vMerge w:val="restart"/>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物业服务方案</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物业服务方案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针对物业服务方案进行评价：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1.方案内容详实，充分理解采购需求，符合项目实际，维护方案重点把握准确，提供的服务方案可操作性强，能够有效提高服务水平和质量，得6分；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2.充分理解采购需求，方案基本符合项目实际，维护方案重点把握较准确、提供的服务方案可操作，能够提高服务水平和质量，得4分；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3.基本理解需求，方案部分符合实际，维护方案能够把握部分重点，能够保障服务水平和质量，得2分；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4.需求理解有偏差，方案不符合实际，难以保障服务水平和质量，得0分。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物业服务方案</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1.具有大专及以上学历，得2分；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2.具有3年及以上物业管理有关经验，得4分。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【证明材料：学历等相关证书扫描件，所在公司或项目使用单位出具的经验证明（加盖公章）。另需提供近半年内任意一个月在本公司缴纳社保的证明，否则不得分】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val="restart"/>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项目团队</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2.维修主管（客观分）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1.具有大专及以上学历，得2分；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2.具有3年及以上维修管理有关经验，得3分；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3.具有工程类中级及以上职称，得4分。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【证明材料：学历等证书扫描件，所在公司或项目使用单位出具的经验证明（加盖公章）。另需提供近半年内任意一个月在本公司缴纳社保的证明，否则不得分】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0～9</w:t>
            </w:r>
          </w:p>
        </w:tc>
        <w:tc>
          <w:tcPr>
            <w:tcW w:w="1208" w:type="dxa"/>
            <w:vMerge/>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项目团队</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3.保洁主管（客观分）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1.具有大专及以上学历，得2分；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2.具有3年及以上保洁管理有关经验，得3分。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【证明材料：学历等相关证书扫描件，所在公司或项目使用单位出具的经验证明（加盖公章）。另需提供近半年内任意一个月在本公司缴纳社保的证明，否则不得分】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0～5</w:t>
            </w:r>
          </w:p>
        </w:tc>
        <w:tc>
          <w:tcPr>
            <w:tcW w:w="1208" w:type="dxa"/>
            <w:vMerge/>
          </w:tcPr>
          <w:p w:rsidR="00A77B3E">
            <w:pPr>
              <w:spacing w:line="240" w:lineRule="atLeast"/>
              <w:jc w:val="left"/>
              <w:rPr>
                <w:rFonts w:ascii="宋体" w:eastAsia="宋体" w:hAnsi="宋体" w:cs="宋体"/>
                <w:lang w:val="en-US" w:eastAsia="en-US" w:bidi="ar-SA"/>
              </w:rPr>
            </w:pPr>
            <w:r>
              <w:rPr>
                <w:rFonts w:ascii="宋体" w:eastAsia="宋体" w:hAnsi="宋体" w:cs="宋体"/>
                <w:lang w:val="en-US" w:eastAsia="en-US" w:bidi="ar-SA"/>
              </w:rPr>
              <w:t>项目团队</w:t>
            </w:r>
          </w:p>
          <w:p w:rsidR="00A77B3E">
            <w:pPr>
              <w:spacing w:line="240" w:lineRule="atLeast"/>
              <w:jc w:val="lef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本项目为未预留份额专门面向中小企业采购项目，供应商参与采购活动时价格扣除的具体比例为：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0～10</w:t>
            </w:r>
          </w:p>
        </w:tc>
        <w:tc>
          <w:tcPr>
            <w:tcW w:w="1208" w:type="dxa"/>
          </w:tcPr>
          <w:p w:rsidR="00A77B3E">
            <w:pPr>
              <w:spacing w:line="240" w:lineRule="atLeast"/>
              <w:jc w:val="lef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1" w:name="_Toc256000006"/>
      <w:r>
        <w:rPr>
          <w:rFonts w:ascii="黑体" w:eastAsia="黑体" w:hAnsi="黑体" w:cs="黑体"/>
          <w:bCs/>
          <w:iCs/>
          <w:color w:val="000000"/>
          <w:sz w:val="28"/>
          <w:szCs w:val="28"/>
          <w:lang w:val="en-US" w:eastAsia="en-US" w:bidi="ar-SA"/>
        </w:rPr>
        <w:t>第五部分 技术规格及要求</w:t>
      </w:r>
      <w:bookmarkEnd w:id="6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jc w:val="left"/>
        <w:rPr>
          <w:rFonts w:ascii="宋体" w:eastAsia="宋体" w:hAnsi="宋体" w:cs="宋体"/>
          <w:lang w:val="en-US" w:eastAsia="en-US" w:bidi="ar-SA"/>
        </w:rPr>
      </w:pPr>
      <w:r>
        <w:rPr>
          <w:rFonts w:ascii="宋体" w:eastAsia="宋体" w:hAnsi="宋体" w:cs="宋体"/>
          <w:lang w:val="en-US" w:eastAsia="en-US" w:bidi="ar-SA"/>
        </w:rPr>
        <w:t>详见附件：</w:t>
      </w:r>
    </w:p>
    <w:p w:rsidR="00A77B3E">
      <w:pPr>
        <w:jc w:val="left"/>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技术与服务要求.docx</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2" w:name="_Toc256000007"/>
      <w:r>
        <w:rPr>
          <w:rFonts w:ascii="宋体" w:eastAsia="宋体" w:hAnsi="宋体" w:cs="宋体"/>
          <w:b/>
          <w:bCs/>
          <w:kern w:val="32"/>
          <w:sz w:val="72"/>
          <w:szCs w:val="32"/>
          <w:lang w:val="en-US" w:eastAsia="en-US" w:bidi="ar-SA"/>
        </w:rPr>
        <w:t>第二章 通用部分</w:t>
      </w:r>
      <w:bookmarkEnd w:id="62"/>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3" w:name="_Toc256000008"/>
      <w:r>
        <w:rPr>
          <w:rFonts w:ascii="黑体" w:eastAsia="黑体" w:hAnsi="黑体" w:cs="黑体"/>
          <w:bCs/>
          <w:iCs/>
          <w:color w:val="000000"/>
          <w:sz w:val="28"/>
          <w:szCs w:val="28"/>
          <w:lang w:val="en-US" w:eastAsia="en-US" w:bidi="ar-SA"/>
        </w:rPr>
        <w:t>第一部分 投标人须知</w:t>
      </w:r>
      <w:bookmarkEnd w:id="63"/>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widowControl/>
        <w:numPr>
          <w:ilvl w:val="1"/>
          <w:numId w:val="2"/>
        </w:numPr>
        <w:tabs>
          <w:tab w:val="left" w:pos="600"/>
        </w:tabs>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widowControl/>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widowControl/>
        <w:numPr>
          <w:ilvl w:val="1"/>
          <w:numId w:val="2"/>
        </w:numPr>
        <w:tabs>
          <w:tab w:val="left" w:pos="600"/>
        </w:tabs>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widowControl/>
        <w:numPr>
          <w:ilvl w:val="2"/>
          <w:numId w:val="2"/>
        </w:numPr>
        <w:tabs>
          <w:tab w:val="left" w:pos="720"/>
        </w:tabs>
        <w:snapToGrid w:val="0"/>
        <w:spacing w:line="480" w:lineRule="exact"/>
        <w:ind w:left="720" w:hanging="720"/>
        <w:jc w:val="lef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widowControl/>
        <w:numPr>
          <w:ilvl w:val="2"/>
          <w:numId w:val="2"/>
        </w:numPr>
        <w:tabs>
          <w:tab w:val="left" w:pos="720"/>
        </w:tabs>
        <w:snapToGrid w:val="0"/>
        <w:spacing w:line="480" w:lineRule="exact"/>
        <w:ind w:left="720" w:hanging="720"/>
        <w:jc w:val="lef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widowControl/>
        <w:numPr>
          <w:ilvl w:val="1"/>
          <w:numId w:val="2"/>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widowControl/>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widowControl/>
        <w:numPr>
          <w:ilvl w:val="1"/>
          <w:numId w:val="2"/>
        </w:numPr>
        <w:tabs>
          <w:tab w:val="left" w:pos="600"/>
          <w:tab w:val="left" w:pos="705"/>
        </w:tabs>
        <w:snapToGrid w:val="0"/>
        <w:spacing w:line="480" w:lineRule="exact"/>
        <w:ind w:left="600" w:hanging="600"/>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widowControl/>
        <w:numPr>
          <w:ilvl w:val="0"/>
          <w:numId w:val="2"/>
        </w:numPr>
        <w:tabs>
          <w:tab w:val="left" w:pos="525"/>
          <w:tab w:val="left" w:pos="705"/>
          <w:tab w:val="left" w:pos="742"/>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widowControl/>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widowControl/>
        <w:numPr>
          <w:ilvl w:val="1"/>
          <w:numId w:val="3"/>
        </w:numPr>
        <w:tabs>
          <w:tab w:val="left" w:pos="600"/>
          <w:tab w:val="left" w:pos="884"/>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widowControl/>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widowControl/>
        <w:numPr>
          <w:ilvl w:val="2"/>
          <w:numId w:val="3"/>
        </w:numPr>
        <w:tabs>
          <w:tab w:val="left" w:pos="72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widowControl/>
        <w:numPr>
          <w:ilvl w:val="2"/>
          <w:numId w:val="3"/>
        </w:numPr>
        <w:tabs>
          <w:tab w:val="left" w:pos="720"/>
        </w:tabs>
        <w:snapToGrid w:val="0"/>
        <w:spacing w:line="480" w:lineRule="exact"/>
        <w:ind w:left="720" w:hanging="720"/>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widowControl/>
        <w:numPr>
          <w:ilvl w:val="2"/>
          <w:numId w:val="3"/>
        </w:numPr>
        <w:tabs>
          <w:tab w:val="left" w:pos="720"/>
        </w:tabs>
        <w:snapToGrid w:val="0"/>
        <w:spacing w:line="480" w:lineRule="exact"/>
        <w:ind w:left="720" w:hanging="720"/>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widowControl/>
        <w:numPr>
          <w:ilvl w:val="2"/>
          <w:numId w:val="3"/>
        </w:numPr>
        <w:tabs>
          <w:tab w:val="left" w:pos="72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widowControl/>
        <w:numPr>
          <w:ilvl w:val="2"/>
          <w:numId w:val="3"/>
        </w:numPr>
        <w:tabs>
          <w:tab w:val="left" w:pos="720"/>
        </w:tabs>
        <w:snapToGrid w:val="0"/>
        <w:spacing w:line="480" w:lineRule="exact"/>
        <w:ind w:left="720" w:hanging="720"/>
        <w:jc w:val="left"/>
        <w:rPr>
          <w:rFonts w:ascii="宋体" w:eastAsia="宋体" w:hAnsi="宋体"/>
          <w:lang w:val="en-US" w:eastAsia="en-US" w:bidi="ar-SA"/>
        </w:rPr>
      </w:pPr>
      <w:r>
        <w:rPr>
          <w:rFonts w:ascii="宋体" w:eastAsia="宋体" w:hAnsi="宋体" w:hint="eastAsia"/>
          <w:lang w:val="en-US" w:eastAsia="en-US" w:bidi="ar-SA"/>
        </w:rPr>
        <w:t>投标的澄清</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widowControl/>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widowControl/>
        <w:numPr>
          <w:ilvl w:val="2"/>
          <w:numId w:val="3"/>
        </w:numPr>
        <w:tabs>
          <w:tab w:val="left" w:pos="720"/>
        </w:tabs>
        <w:snapToGrid w:val="0"/>
        <w:spacing w:line="480" w:lineRule="exact"/>
        <w:ind w:left="720" w:hanging="720"/>
        <w:jc w:val="lef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widowControl/>
        <w:numPr>
          <w:ilvl w:val="2"/>
          <w:numId w:val="3"/>
        </w:numPr>
        <w:tabs>
          <w:tab w:val="left" w:pos="720"/>
        </w:tabs>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widowControl/>
        <w:numPr>
          <w:ilvl w:val="2"/>
          <w:numId w:val="3"/>
        </w:numPr>
        <w:tabs>
          <w:tab w:val="left" w:pos="720"/>
        </w:tabs>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widowControl/>
        <w:numPr>
          <w:ilvl w:val="2"/>
          <w:numId w:val="3"/>
        </w:numPr>
        <w:tabs>
          <w:tab w:val="left" w:pos="720"/>
        </w:tabs>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widowControl/>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widowControl/>
        <w:numPr>
          <w:ilvl w:val="2"/>
          <w:numId w:val="3"/>
        </w:numPr>
        <w:tabs>
          <w:tab w:val="left" w:pos="720"/>
        </w:tabs>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widowControl/>
        <w:numPr>
          <w:ilvl w:val="2"/>
          <w:numId w:val="3"/>
        </w:numPr>
        <w:tabs>
          <w:tab w:val="left" w:pos="720"/>
        </w:tabs>
        <w:snapToGrid w:val="0"/>
        <w:spacing w:line="480" w:lineRule="exact"/>
        <w:ind w:left="720" w:hanging="720"/>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widowControl/>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widowControl/>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widowControl/>
        <w:numPr>
          <w:ilvl w:val="2"/>
          <w:numId w:val="3"/>
        </w:numPr>
        <w:tabs>
          <w:tab w:val="left" w:pos="720"/>
        </w:tabs>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widowControl/>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widowControl/>
        <w:numPr>
          <w:ilvl w:val="2"/>
          <w:numId w:val="3"/>
        </w:numPr>
        <w:tabs>
          <w:tab w:val="left" w:pos="720"/>
        </w:tabs>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widowControl/>
        <w:numPr>
          <w:ilvl w:val="2"/>
          <w:numId w:val="3"/>
        </w:numPr>
        <w:tabs>
          <w:tab w:val="left" w:pos="720"/>
        </w:tabs>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widowControl/>
        <w:numPr>
          <w:ilvl w:val="2"/>
          <w:numId w:val="3"/>
        </w:numPr>
        <w:tabs>
          <w:tab w:val="left" w:pos="720"/>
        </w:tabs>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widowControl/>
        <w:numPr>
          <w:ilvl w:val="1"/>
          <w:numId w:val="3"/>
        </w:numPr>
        <w:tabs>
          <w:tab w:val="left" w:pos="600"/>
          <w:tab w:val="left" w:pos="884"/>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widowControl/>
        <w:numPr>
          <w:ilvl w:val="1"/>
          <w:numId w:val="3"/>
        </w:numPr>
        <w:tabs>
          <w:tab w:val="left" w:pos="600"/>
          <w:tab w:val="left" w:pos="884"/>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widowControl/>
        <w:numPr>
          <w:ilvl w:val="1"/>
          <w:numId w:val="3"/>
        </w:numPr>
        <w:tabs>
          <w:tab w:val="left" w:pos="600"/>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widowControl/>
        <w:numPr>
          <w:ilvl w:val="0"/>
          <w:numId w:val="3"/>
        </w:numPr>
        <w:tabs>
          <w:tab w:val="left" w:pos="705"/>
        </w:tabs>
        <w:snapToGrid w:val="0"/>
        <w:spacing w:before="312" w:beforeLines="100" w:line="480" w:lineRule="exact"/>
        <w:ind w:left="705" w:hanging="60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widowControl/>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widowControl/>
        <w:numPr>
          <w:ilvl w:val="0"/>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widowControl/>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widowControl/>
        <w:numPr>
          <w:ilvl w:val="1"/>
          <w:numId w:val="3"/>
        </w:numPr>
        <w:tabs>
          <w:tab w:val="left" w:pos="884"/>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widowControl/>
        <w:snapToGrid w:val="0"/>
        <w:spacing w:line="480" w:lineRule="exact"/>
        <w:ind w:left="698" w:leftChars="291"/>
        <w:jc w:val="left"/>
        <w:rPr>
          <w:rFonts w:ascii="宋体" w:eastAsia="宋体" w:hAnsi="宋体"/>
          <w:lang w:val="en-US" w:eastAsia="en-US" w:bidi="ar-SA"/>
        </w:rPr>
      </w:pPr>
      <w:r>
        <w:rPr>
          <w:rFonts w:ascii="宋体" w:eastAsia="宋体" w:hAnsi="宋体" w:hint="eastAsia"/>
          <w:lang w:val="en-US" w:eastAsia="en-US" w:bidi="ar-SA"/>
        </w:rPr>
        <w:t>按照合同约定执行。</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widowControl/>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widowControl/>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widowControl/>
        <w:numPr>
          <w:ilvl w:val="0"/>
          <w:numId w:val="3"/>
        </w:numPr>
        <w:tabs>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widowControl/>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widowControl/>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widowControl/>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widowControl/>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widowControl/>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widowControl/>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widowControl/>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widowControl/>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widowControl/>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widowControl/>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widowControl/>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widowControl/>
        <w:spacing w:line="480" w:lineRule="exact"/>
        <w:ind w:firstLine="480" w:firstLineChars="200"/>
        <w:jc w:val="left"/>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widowControl/>
        <w:spacing w:line="480" w:lineRule="exact"/>
        <w:ind w:firstLine="480" w:firstLineChars="200"/>
        <w:jc w:val="left"/>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widowControl/>
        <w:spacing w:line="480" w:lineRule="exact"/>
        <w:ind w:firstLine="480" w:firstLineChars="200"/>
        <w:jc w:val="left"/>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widowControl/>
        <w:spacing w:line="480" w:lineRule="exact"/>
        <w:ind w:firstLine="480" w:firstLineChars="200"/>
        <w:jc w:val="left"/>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widowControl/>
        <w:spacing w:line="480" w:lineRule="exact"/>
        <w:ind w:firstLine="480" w:firstLineChars="200"/>
        <w:jc w:val="left"/>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widowControl/>
        <w:spacing w:line="480" w:lineRule="exact"/>
        <w:ind w:firstLine="480" w:firstLineChars="200"/>
        <w:jc w:val="left"/>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widowControl/>
        <w:spacing w:line="480" w:lineRule="exact"/>
        <w:rPr>
          <w:rFonts w:eastAsia="宋体"/>
          <w:lang w:val="en-US" w:eastAsia="en-US" w:bidi="ar-SA"/>
        </w:rPr>
      </w:pPr>
    </w:p>
    <w:p>
      <w:pPr>
        <w:widowControl/>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4" w:name="_Toc256000009"/>
      <w:r>
        <w:rPr>
          <w:rFonts w:ascii="黑体" w:eastAsia="黑体" w:hAnsi="黑体" w:cs="黑体"/>
          <w:bCs/>
          <w:iCs/>
          <w:color w:val="000000"/>
          <w:sz w:val="28"/>
          <w:szCs w:val="28"/>
          <w:lang w:val="en-US" w:eastAsia="en-US" w:bidi="ar-SA"/>
        </w:rPr>
        <w:t>第二部分 合同条款及格式</w:t>
      </w:r>
      <w:bookmarkEnd w:id="64"/>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widowControl/>
        <w:numPr>
          <w:ilvl w:val="0"/>
          <w:numId w:val="4"/>
        </w:numPr>
        <w:tabs>
          <w:tab w:val="left" w:pos="432"/>
          <w:tab w:val="left" w:pos="576"/>
          <w:tab w:val="left" w:pos="851"/>
          <w:tab w:val="left" w:pos="1980"/>
        </w:tabs>
        <w:spacing w:before="260" w:after="260" w:line="360" w:lineRule="auto"/>
        <w:ind w:left="1980" w:hanging="1980"/>
        <w:jc w:val="center"/>
        <w:outlineLvl w:val="1"/>
        <w:rPr>
          <w:rFonts w:ascii="宋体" w:eastAsia="宋体" w:hAnsi="宋体" w:cs="宋体" w:hint="eastAsia"/>
          <w:b/>
          <w:bCs/>
          <w:lang w:val="en-US" w:eastAsia="en-US" w:bidi="ar-SA"/>
        </w:rPr>
      </w:pPr>
      <w:bookmarkStart w:id="65" w:name="_Toc256000010"/>
      <w:r>
        <w:rPr>
          <w:rFonts w:ascii="宋体" w:eastAsia="宋体" w:hAnsi="宋体" w:cs="宋体" w:hint="eastAsia"/>
          <w:b/>
          <w:bCs/>
          <w:lang w:val="en-US" w:eastAsia="en-US" w:bidi="ar-SA"/>
        </w:rPr>
        <w:t>合同条款</w:t>
      </w:r>
      <w:bookmarkEnd w:id="65"/>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本合同对下列术语定义为：</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系指甲乙双方签署的、合同格式中载明的甲乙双方所达成的协议，包括所有的附件、附录和上述文件所提到的构成合同的所有文件。</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合同价</w:t>
      </w:r>
      <w:r>
        <w:rPr>
          <w:rFonts w:ascii="宋体" w:eastAsia="宋体" w:hAnsi="宋体" w:hint="eastAsia"/>
          <w:lang w:val="en-US" w:eastAsia="en-US" w:bidi="ar-SA"/>
        </w:rPr>
        <w:t>”</w:t>
      </w:r>
      <w:r>
        <w:rPr>
          <w:rFonts w:ascii="宋体" w:eastAsia="宋体" w:hAnsi="宋体" w:hint="eastAsia"/>
          <w:lang w:val="en-US" w:eastAsia="en-US" w:bidi="ar-SA"/>
        </w:rPr>
        <w:t>系指根据本合同规定乙方在正确地完全履行合同义务后甲方应支付给乙方的价款。</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服务</w:t>
      </w:r>
      <w:r>
        <w:rPr>
          <w:rFonts w:ascii="宋体" w:eastAsia="宋体" w:hAnsi="宋体" w:hint="eastAsia"/>
          <w:lang w:val="en-US" w:eastAsia="en-US" w:bidi="ar-SA"/>
        </w:rPr>
        <w:t>”</w:t>
      </w:r>
      <w:r>
        <w:rPr>
          <w:rFonts w:ascii="宋体" w:eastAsia="宋体" w:hAnsi="宋体" w:hint="eastAsia"/>
          <w:lang w:val="en-US" w:eastAsia="en-US" w:bidi="ar-SA"/>
        </w:rPr>
        <w:t>系指乙方根据合同规定须向甲方提供的所有成果。</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合同条款</w:t>
      </w:r>
      <w:r>
        <w:rPr>
          <w:rFonts w:ascii="宋体" w:eastAsia="宋体" w:hAnsi="宋体" w:hint="eastAsia"/>
          <w:lang w:val="en-US" w:eastAsia="en-US" w:bidi="ar-SA"/>
        </w:rPr>
        <w:t>”</w:t>
      </w:r>
      <w:r>
        <w:rPr>
          <w:rFonts w:ascii="宋体" w:eastAsia="宋体" w:hAnsi="宋体" w:hint="eastAsia"/>
          <w:lang w:val="en-US" w:eastAsia="en-US" w:bidi="ar-SA"/>
        </w:rPr>
        <w:t>系指本合同条款。</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系指购买服务的采购人。</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系指提供服务的中标（成交）供应商。</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天</w:t>
      </w:r>
      <w:r>
        <w:rPr>
          <w:rFonts w:ascii="宋体" w:eastAsia="宋体" w:hAnsi="宋体" w:hint="eastAsia"/>
          <w:lang w:val="en-US" w:eastAsia="en-US" w:bidi="ar-SA"/>
        </w:rPr>
        <w:t>”</w:t>
      </w:r>
      <w:r>
        <w:rPr>
          <w:rFonts w:ascii="宋体" w:eastAsia="宋体" w:hAnsi="宋体" w:hint="eastAsia"/>
          <w:lang w:val="en-US" w:eastAsia="en-US" w:bidi="ar-SA"/>
        </w:rPr>
        <w:t>指日历天数。</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适用性</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本合同条款适用于没有被本合同其他组成部分所取代的范围。</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标准</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本合同下交付的服务应符合本项目采购文件所述的标准。如果没有提及适用标准，则应符合中华人民共和国有关机构发布的最新版本的标准。</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除非另有规定外，计量单位均采用中华人民共和国法定计量单位。</w:t>
      </w:r>
    </w:p>
    <w:p>
      <w:pPr>
        <w:widowControl/>
        <w:numPr>
          <w:ilvl w:val="0"/>
          <w:numId w:val="5"/>
        </w:numPr>
        <w:tabs>
          <w:tab w:val="left" w:pos="0"/>
          <w:tab w:val="left" w:pos="420"/>
          <w:tab w:val="left" w:pos="600"/>
        </w:tabs>
        <w:adjustRightInd w:val="0"/>
        <w:snapToGrid w:val="0"/>
        <w:spacing w:before="312" w:beforeLines="100" w:line="360" w:lineRule="auto"/>
        <w:ind w:left="1309" w:hanging="600"/>
        <w:outlineLvl w:val="2"/>
        <w:rPr>
          <w:rFonts w:ascii="宋体" w:eastAsia="宋体" w:hAnsi="宋体" w:hint="eastAsia"/>
          <w:b/>
          <w:lang w:val="en-US" w:eastAsia="en-US" w:bidi="ar-SA"/>
        </w:rPr>
      </w:pPr>
      <w:r>
        <w:rPr>
          <w:rFonts w:ascii="宋体" w:eastAsia="宋体" w:hAnsi="宋体" w:hint="eastAsia"/>
          <w:b/>
          <w:lang w:val="en-US" w:eastAsia="en-US" w:bidi="ar-SA"/>
        </w:rPr>
        <w:t>使用合同文件和资料</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没有甲方事先同意，除了履行本合同外，乙方不应使用合同条款第4.1所列举的任何保密信息。</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除了合同本身以外，合同条款第4.1条所列举的任何文件是甲方的财产。如果甲方有要求，乙方在完成合同后应将这些文件全部复制件还给甲方。</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乙方未按照上述约定严格履行保密义务的，应当按合同规定向甲方支付违约金，于此情形下，甲方还有权提前解除合同。</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权利保护</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保证，其向甲方提供服务的行为合法有效，甲方在中华人民共和国使用该服务或服务的任何一部分时，免受任何第三方提出侵犯其著作权、专利权、商标权、专有秘密等知识产权及其他权利的起诉。如果任何第三方提出侵权指控，乙方须与第三方交涉并承担由此发生的一切责任、费用和经济赔偿。</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所有乙方基于本合同目的自行为甲方创作的所有资料、作品，所有版权均归甲方所有，且乙方不得将为甲方制作的作品擅自使用或者提供给第三方。</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对于乙方为履行本合同提供的服务人员，乙方须为其按国家规定缴纳社会保险，按行业规定缴纳相关商业保险，并保证所有服务人员工资不得低于服务所在地最低工资标准。</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乙方应按照本项目采购文件规定的期限和数额提交履约保证金</w:t>
      </w:r>
      <w:r>
        <w:rPr>
          <w:rFonts w:ascii="宋体" w:eastAsia="宋体" w:hAnsi="宋体" w:hint="eastAsia"/>
          <w:lang w:val="en-US" w:eastAsia="en-US" w:bidi="ar-SA"/>
        </w:rPr>
        <w:t>，如本项目采购文件规定无须提交履约保证金的，本合同各条款中与履约保证金有关的内容不适用</w:t>
      </w:r>
      <w:r>
        <w:rPr>
          <w:rFonts w:ascii="宋体" w:eastAsia="宋体" w:hAnsi="宋体" w:hint="eastAsia"/>
          <w:color w:val="000000"/>
          <w:lang w:val="en-US" w:eastAsia="en-US" w:bidi="ar-SA"/>
        </w:rPr>
        <w:t>。未按期足额支付履约保证金的，甲方有权解除本合同。</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作为乙方履行本合同义务的保证，如果乙方不履行合同，履约保证金不予退还；如乙方不能全面、适当地履行本合同义务，则甲方有权直接从履约保证金中扣除其所遭受的全部损失，或者根据本合同中关于违约责任的约定扣除乙方应当支付的全部违约金,同时不影响甲方要求乙方承担合同约定的超过履约保证金的违约责任的权利。</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履约保证金应采用人民币，并采用下述方式之一提交：</w:t>
      </w:r>
    </w:p>
    <w:p>
      <w:pPr>
        <w:widowControl/>
        <w:numPr>
          <w:ilvl w:val="0"/>
          <w:numId w:val="6"/>
        </w:numPr>
        <w:tabs>
          <w:tab w:val="left" w:pos="1155"/>
          <w:tab w:val="left" w:pos="1560"/>
        </w:tabs>
        <w:snapToGrid w:val="0"/>
        <w:spacing w:line="360" w:lineRule="auto"/>
        <w:ind w:left="1560" w:hanging="1140"/>
        <w:rPr>
          <w:rFonts w:ascii="宋体" w:eastAsia="宋体" w:hAnsi="宋体" w:hint="eastAsia"/>
          <w:color w:val="000000"/>
          <w:lang w:val="en-US" w:eastAsia="en-US" w:bidi="ar-SA"/>
        </w:rPr>
      </w:pPr>
      <w:r>
        <w:rPr>
          <w:rFonts w:ascii="宋体" w:eastAsia="宋体" w:hAnsi="宋体" w:hint="eastAsia"/>
          <w:color w:val="000000"/>
          <w:lang w:val="en-US" w:eastAsia="en-US" w:bidi="ar-SA"/>
        </w:rPr>
        <w:t>银行保函</w:t>
      </w:r>
    </w:p>
    <w:p>
      <w:pPr>
        <w:widowControl/>
        <w:snapToGrid w:val="0"/>
        <w:spacing w:line="360" w:lineRule="auto"/>
        <w:ind w:left="720" w:leftChars="300"/>
        <w:rPr>
          <w:rFonts w:ascii="宋体" w:eastAsia="宋体" w:hAnsi="宋体" w:hint="eastAsia"/>
          <w:color w:val="000000"/>
          <w:lang w:val="en-US" w:eastAsia="en-US" w:bidi="ar-SA"/>
        </w:rPr>
      </w:pPr>
      <w:r>
        <w:rPr>
          <w:rFonts w:ascii="宋体" w:eastAsia="宋体" w:hAnsi="宋体" w:hint="eastAsia"/>
          <w:color w:val="000000"/>
          <w:lang w:val="en-US" w:eastAsia="en-US" w:bidi="ar-SA"/>
        </w:rPr>
        <w:t xml:space="preserve">由甲方可接受的在中华人民共和国境内注册和营业的银行总行或省、直辖市级分行出具，其格式采用采购文件提供的格式或其他甲方可接受的格式； </w:t>
      </w:r>
    </w:p>
    <w:p>
      <w:pPr>
        <w:widowControl/>
        <w:numPr>
          <w:ilvl w:val="0"/>
          <w:numId w:val="6"/>
        </w:numPr>
        <w:tabs>
          <w:tab w:val="left" w:pos="1155"/>
          <w:tab w:val="left" w:pos="1560"/>
        </w:tabs>
        <w:snapToGrid w:val="0"/>
        <w:spacing w:line="360" w:lineRule="auto"/>
        <w:ind w:left="1560" w:hanging="1140"/>
        <w:rPr>
          <w:rFonts w:ascii="宋体" w:eastAsia="宋体" w:hAnsi="宋体" w:hint="eastAsia"/>
          <w:lang w:val="en-US" w:eastAsia="en-US" w:bidi="ar-SA"/>
        </w:rPr>
      </w:pPr>
      <w:r>
        <w:rPr>
          <w:rFonts w:ascii="宋体" w:eastAsia="宋体" w:hAnsi="宋体" w:hint="eastAsia"/>
          <w:lang w:val="en-US" w:eastAsia="en-US" w:bidi="ar-SA"/>
        </w:rPr>
        <w:t>银行汇款、汇票、支票、本票；</w:t>
      </w:r>
    </w:p>
    <w:p>
      <w:pPr>
        <w:widowControl/>
        <w:numPr>
          <w:ilvl w:val="0"/>
          <w:numId w:val="6"/>
        </w:numPr>
        <w:tabs>
          <w:tab w:val="left" w:pos="1155"/>
          <w:tab w:val="left" w:pos="1560"/>
        </w:tabs>
        <w:snapToGrid w:val="0"/>
        <w:spacing w:line="360" w:lineRule="auto"/>
        <w:ind w:left="1560" w:hanging="1140"/>
        <w:rPr>
          <w:rFonts w:ascii="宋体" w:eastAsia="宋体" w:hAnsi="宋体" w:hint="eastAsia"/>
          <w:lang w:val="en-US" w:eastAsia="en-US" w:bidi="ar-SA"/>
        </w:rPr>
      </w:pPr>
      <w:r>
        <w:rPr>
          <w:rFonts w:ascii="宋体" w:eastAsia="宋体" w:hAnsi="宋体" w:hint="eastAsia"/>
          <w:lang w:val="en-US" w:eastAsia="en-US" w:bidi="ar-SA"/>
        </w:rPr>
        <w:t>中国投资担保有限公司政府采购履约担保函。</w:t>
      </w:r>
    </w:p>
    <w:p>
      <w:pPr>
        <w:widowControl/>
        <w:numPr>
          <w:ilvl w:val="1"/>
          <w:numId w:val="5"/>
        </w:numPr>
        <w:tabs>
          <w:tab w:val="left" w:pos="495"/>
          <w:tab w:val="left" w:pos="709"/>
        </w:tabs>
        <w:adjustRightInd w:val="0"/>
        <w:snapToGrid w:val="0"/>
        <w:spacing w:line="360" w:lineRule="auto"/>
        <w:ind w:left="495" w:hanging="600"/>
        <w:rPr>
          <w:rFonts w:ascii="宋体" w:eastAsia="宋体" w:hAnsi="宋体" w:hint="eastAsia"/>
          <w:lang w:val="en-US" w:eastAsia="en-US" w:bidi="ar-SA"/>
        </w:rPr>
      </w:pPr>
      <w:r>
        <w:rPr>
          <w:rFonts w:ascii="宋体" w:eastAsia="宋体" w:hAnsi="宋体" w:hint="eastAsia"/>
          <w:lang w:val="en-US" w:eastAsia="en-US" w:bidi="ar-SA"/>
        </w:rPr>
        <w:t>履约保证金在合同约定期限内不予退还或者应完全有效。如果乙方能按约全面履行合同义务，甲方将在合同约定履约保证金退还期限到达后，以银行汇款或支票方式退还乙方以银行转账汇款或银行汇票、支票、本票方式提供的履约保证金（不计利息），如果乙方以银行保函、政府采购履约担保函方式提供履约保证金的，有关第三方机构的担保责任于乙方按约全面履行合同义务完毕同时解除，相关保函的法律效力亦同时终止。</w:t>
      </w:r>
    </w:p>
    <w:p>
      <w:pPr>
        <w:widowControl/>
        <w:numPr>
          <w:ilvl w:val="1"/>
          <w:numId w:val="5"/>
        </w:numPr>
        <w:tabs>
          <w:tab w:val="left" w:pos="495"/>
          <w:tab w:val="left" w:pos="709"/>
        </w:tabs>
        <w:adjustRightInd w:val="0"/>
        <w:snapToGrid w:val="0"/>
        <w:spacing w:line="360" w:lineRule="auto"/>
        <w:ind w:left="495" w:hanging="600"/>
        <w:rPr>
          <w:rFonts w:ascii="宋体" w:eastAsia="宋体" w:hAnsi="宋体" w:hint="eastAsia"/>
          <w:lang w:val="en-US" w:eastAsia="en-US" w:bidi="ar-SA"/>
        </w:rPr>
      </w:pPr>
      <w:r>
        <w:rPr>
          <w:rFonts w:ascii="宋体" w:eastAsia="宋体" w:hAnsi="宋体" w:hint="eastAsia"/>
          <w:lang w:val="en-US" w:eastAsia="en-US" w:bidi="ar-SA"/>
        </w:rPr>
        <w:t>甲方逾期退还履约保证金的，乙方有权要求甲方自约定的退还期限届满次日起，每逾期一日，按合同规定支付相应的违约金，直至实际退还之日为止。因乙方原因造成甲方逾期退还履约保证金的除外。</w:t>
      </w:r>
    </w:p>
    <w:p>
      <w:pPr>
        <w:widowControl/>
        <w:numPr>
          <w:ilvl w:val="0"/>
          <w:numId w:val="5"/>
        </w:numPr>
        <w:tabs>
          <w:tab w:val="left" w:pos="0"/>
          <w:tab w:val="left" w:pos="420"/>
          <w:tab w:val="left" w:pos="600"/>
        </w:tabs>
        <w:adjustRightInd w:val="0"/>
        <w:snapToGrid w:val="0"/>
        <w:spacing w:before="312" w:beforeLines="100" w:line="360" w:lineRule="auto"/>
        <w:ind w:left="1309" w:hanging="600"/>
        <w:outlineLvl w:val="2"/>
        <w:rPr>
          <w:rFonts w:ascii="宋体" w:eastAsia="宋体" w:hAnsi="宋体" w:hint="eastAsia"/>
          <w:b/>
          <w:lang w:val="en-US" w:eastAsia="en-US" w:bidi="ar-SA"/>
        </w:rPr>
      </w:pPr>
      <w:r>
        <w:rPr>
          <w:rFonts w:ascii="宋体" w:eastAsia="宋体" w:hAnsi="宋体" w:hint="eastAsia"/>
          <w:b/>
          <w:lang w:val="en-US" w:eastAsia="en-US" w:bidi="ar-SA"/>
        </w:rPr>
        <w:t>履约监管与验收</w:t>
      </w:r>
    </w:p>
    <w:p>
      <w:pPr>
        <w:widowControl/>
        <w:numPr>
          <w:ilvl w:val="1"/>
          <w:numId w:val="5"/>
        </w:numPr>
        <w:tabs>
          <w:tab w:val="left" w:pos="495"/>
          <w:tab w:val="left" w:pos="709"/>
        </w:tabs>
        <w:adjustRightInd w:val="0"/>
        <w:snapToGrid w:val="0"/>
        <w:spacing w:line="360" w:lineRule="auto"/>
        <w:ind w:left="495" w:hanging="600"/>
        <w:rPr>
          <w:rFonts w:ascii="宋体" w:eastAsia="宋体" w:hAnsi="宋体" w:hint="eastAsia"/>
          <w:lang w:val="en-US" w:eastAsia="en-US" w:bidi="ar-SA"/>
        </w:rPr>
      </w:pPr>
      <w:r>
        <w:rPr>
          <w:rFonts w:ascii="宋体" w:eastAsia="宋体" w:hAnsi="宋体" w:hint="eastAsia"/>
          <w:lang w:val="en-US" w:eastAsia="en-US" w:bidi="ar-SA"/>
        </w:rPr>
        <w:t>甲方根据合同规定对乙方提供服务全过程进行履约监管，并有权要求乙方就履约监管中发现的问题进行限期整改，履约监管中发现问题或乙方未能按要求整改，甲方有权根据合同规定追究乙方的违约责任。</w:t>
      </w:r>
    </w:p>
    <w:p>
      <w:pPr>
        <w:widowControl/>
        <w:numPr>
          <w:ilvl w:val="1"/>
          <w:numId w:val="5"/>
        </w:numPr>
        <w:tabs>
          <w:tab w:val="left" w:pos="495"/>
          <w:tab w:val="left" w:pos="709"/>
        </w:tabs>
        <w:adjustRightInd w:val="0"/>
        <w:snapToGrid w:val="0"/>
        <w:spacing w:line="360" w:lineRule="auto"/>
        <w:ind w:left="495" w:hanging="600"/>
        <w:rPr>
          <w:rFonts w:ascii="宋体" w:eastAsia="宋体" w:hAnsi="宋体" w:hint="eastAsia"/>
          <w:lang w:val="en-US" w:eastAsia="en-US" w:bidi="ar-SA"/>
        </w:rPr>
      </w:pPr>
      <w:r>
        <w:rPr>
          <w:rFonts w:ascii="宋体" w:eastAsia="宋体" w:hAnsi="宋体" w:hint="eastAsia"/>
          <w:lang w:val="en-US" w:eastAsia="en-US" w:bidi="ar-SA"/>
        </w:rPr>
        <w:t>乙方根据合同的规定提供服务后形成最终成果的，甲方组成验收小组按国家有关规定、规范及采购文件进行验收，必要时邀请相关的专业人员或机构参与验收。甲方有权委托第三方机构进行验收，对此乙方应当配合。</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付款</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本合同以人民币付款。</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乙方应按照双方签订的合同规定提供服务。履行服务后乙方应把下列单据提交给甲方，甲方按合同规定审核后付款：</w:t>
      </w:r>
    </w:p>
    <w:p>
      <w:pPr>
        <w:widowControl/>
        <w:numPr>
          <w:ilvl w:val="0"/>
          <w:numId w:val="7"/>
        </w:numPr>
        <w:tabs>
          <w:tab w:val="left" w:pos="1365"/>
          <w:tab w:val="left" w:pos="1560"/>
        </w:tabs>
        <w:snapToGrid w:val="0"/>
        <w:spacing w:line="360" w:lineRule="auto"/>
        <w:ind w:left="1560" w:hanging="930"/>
        <w:rPr>
          <w:rFonts w:ascii="宋体" w:eastAsia="宋体" w:hAnsi="宋体" w:hint="eastAsia"/>
          <w:lang w:val="en-US" w:eastAsia="en-US" w:bidi="ar-SA"/>
        </w:rPr>
      </w:pPr>
      <w:r>
        <w:rPr>
          <w:rFonts w:ascii="宋体" w:eastAsia="宋体" w:hAnsi="宋体" w:hint="eastAsia"/>
          <w:lang w:val="en-US" w:eastAsia="en-US" w:bidi="ar-SA"/>
        </w:rPr>
        <w:t>发票；</w:t>
      </w:r>
    </w:p>
    <w:p>
      <w:pPr>
        <w:widowControl/>
        <w:numPr>
          <w:ilvl w:val="0"/>
          <w:numId w:val="7"/>
        </w:numPr>
        <w:tabs>
          <w:tab w:val="left" w:pos="1365"/>
          <w:tab w:val="left" w:pos="1560"/>
        </w:tabs>
        <w:snapToGrid w:val="0"/>
        <w:spacing w:line="360" w:lineRule="auto"/>
        <w:ind w:left="1560" w:hanging="930"/>
        <w:rPr>
          <w:rFonts w:ascii="宋体" w:eastAsia="宋体" w:hAnsi="宋体" w:hint="eastAsia"/>
          <w:lang w:val="en-US" w:eastAsia="en-US" w:bidi="ar-SA"/>
        </w:rPr>
      </w:pPr>
      <w:r>
        <w:rPr>
          <w:rFonts w:ascii="宋体" w:eastAsia="宋体" w:hAnsi="宋体" w:hint="eastAsia"/>
          <w:lang w:val="en-US" w:eastAsia="en-US" w:bidi="ar-SA"/>
        </w:rPr>
        <w:t>全部技术资料；</w:t>
      </w:r>
    </w:p>
    <w:p>
      <w:pPr>
        <w:widowControl/>
        <w:numPr>
          <w:ilvl w:val="0"/>
          <w:numId w:val="7"/>
        </w:numPr>
        <w:tabs>
          <w:tab w:val="left" w:pos="1365"/>
          <w:tab w:val="left" w:pos="1560"/>
        </w:tabs>
        <w:snapToGrid w:val="0"/>
        <w:spacing w:line="360" w:lineRule="auto"/>
        <w:ind w:left="1560" w:hanging="930"/>
        <w:rPr>
          <w:rFonts w:ascii="宋体" w:eastAsia="宋体" w:hAnsi="宋体" w:hint="eastAsia"/>
          <w:lang w:val="en-US" w:eastAsia="en-US" w:bidi="ar-SA"/>
        </w:rPr>
      </w:pPr>
      <w:r>
        <w:rPr>
          <w:rFonts w:ascii="宋体" w:eastAsia="宋体" w:hAnsi="宋体" w:hint="eastAsia"/>
          <w:lang w:val="en-US" w:eastAsia="en-US" w:bidi="ar-SA"/>
        </w:rPr>
        <w:t>由甲乙双方签字的验收证书。</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甲方付款方式和条件：甲方将按照本项目采购文件规定的时间和方式向乙方支付合同价款。</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对于满足合同约定支付条件的，甲方应当自收到乙方提供的相应金额款项发票后</w:t>
      </w:r>
      <w:r>
        <w:rPr>
          <w:rFonts w:ascii="宋体" w:eastAsia="宋体" w:hAnsi="宋体" w:hint="eastAsia"/>
          <w:lang w:val="en-US" w:eastAsia="zh-CN" w:bidi="ar-SA"/>
        </w:rPr>
        <w:t>10个工作日</w:t>
      </w:r>
      <w:r>
        <w:rPr>
          <w:rFonts w:ascii="宋体" w:eastAsia="宋体" w:hAnsi="宋体" w:hint="eastAsia"/>
          <w:lang w:val="en-US" w:eastAsia="en-US" w:bidi="ar-SA"/>
        </w:rPr>
        <w:t>内将资金支付到合同约定的乙方账户，不得以机构变动、人员更替、政策调整等为由延迟付款，不得将采购文件和合同中未规定的义务作为向乙方付款的条件。</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价格</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乙方在本合同项下履行服务的价格在合同中给出。</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合同变更、中止或者终止</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本合同履行过程中，甲方需追加与合同标的相同的服务的，在不改变合同其他条款的前提下，可以与乙方协商签订补充合同，但所有补充合同的采购金额不超过原合同采购金额的百分之十。</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乙双方均不得擅自变更、中止或者终止合同，因任何一方自身原因擅自变更、中止或者终止合同给对方造成损失的，对方有权要求取得赔偿或补偿。但是如果合同继续履行将损害国家利益和社会公共利益的，双方应当变更、中止或者终止合同，有过错的一方应当承担赔偿责任，双方都有过错的，各自承担相应的责任。</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转让和分包</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乙方不得部分转让或全部转让其享有的合同权利及应履行的合同义务。</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未经甲方书面同意，乙方不得将本合同项下应由乙方履行的义务和工作分包给第三方完成。甲方同意分包的，乙方仍应当就分包项目向甲方负责，接受分包的第三方就分包项目承担连带责任。</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乙方违反合同约定转让合同权利、义务或者分包的，乙方应当按合同规定向甲方支付违约金，并且，于此情形下甲方有权决定提前解除合同。</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乙方履约延误</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乙方应按照采购文件中规定的服务时间提供服务。</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履行合同过程中，如果乙方及其分包人遇到妨碍按时提供服务的情况时，应及时以书面形式将拖延的事实、可能拖延的时间和原因通知甲方。甲方在收到乙方通知后，应尽快对情况进行评价，并确定是否同意延长提供服务时间以及是否收取延期交付违约金。</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延期交付违约金</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乙方没有按照合同规定时间提供服务的，甲方应在不影响合同项下的其他补救措施的情况下，有权从合同款项中扣除乙方应当支付的违约金。每延误一天的，乙方应当按合同规定向甲方支付相应的违约金，直至实际提供服务为止。延期提供服务超过合同规定的一定时间时，甲方有权根据合同条款</w:t>
      </w:r>
      <w:r>
        <w:rPr>
          <w:rFonts w:ascii="宋体" w:eastAsia="宋体" w:hAnsi="宋体" w:hint="eastAsia"/>
          <w:u w:val="single"/>
          <w:lang w:val="en-US" w:eastAsia="en-US" w:bidi="ar-SA"/>
        </w:rPr>
        <w:t>第14条</w:t>
      </w:r>
      <w:r>
        <w:rPr>
          <w:rFonts w:ascii="宋体" w:eastAsia="宋体" w:hAnsi="宋体" w:hint="eastAsia"/>
          <w:lang w:val="en-US" w:eastAsia="en-US" w:bidi="ar-SA"/>
        </w:rPr>
        <w:t>的规定解除合同，甲方因此解除合同的，乙方应当支付合同规定的违约金作为赔偿</w:t>
      </w:r>
      <w:r>
        <w:rPr>
          <w:rFonts w:ascii="宋体" w:eastAsia="宋体" w:hAnsi="宋体" w:hint="eastAsia"/>
          <w:bCs/>
          <w:lang w:val="en-US" w:eastAsia="en-US" w:bidi="ar-SA"/>
        </w:rPr>
        <w:t>。</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合同规定向乙方支付相应的违约金，直至实际付款之日为止；逾期付款超过合同规定的一定时间时，乙方有权在要求甲方支付违约金的同时，书面通知甲方解除本合同。</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违约解除合同</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在甲方对乙方违约而采取的任何补救措施不受影响的情况下，甲方可向乙方发出书面违约通知书，提出解除合同。</w:t>
      </w:r>
    </w:p>
    <w:p>
      <w:pPr>
        <w:widowControl/>
        <w:numPr>
          <w:ilvl w:val="0"/>
          <w:numId w:val="8"/>
        </w:numPr>
        <w:tabs>
          <w:tab w:val="left" w:pos="1365"/>
          <w:tab w:val="left" w:pos="1560"/>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乙方延期交付达到约定的合同解除情形</w:t>
      </w:r>
      <w:r>
        <w:rPr>
          <w:rFonts w:ascii="宋体" w:eastAsia="宋体" w:hAnsi="宋体" w:hint="eastAsia"/>
          <w:lang w:val="en-US" w:eastAsia="en-US" w:bidi="ar-SA"/>
        </w:rPr>
        <w:t>。</w:t>
      </w:r>
    </w:p>
    <w:p>
      <w:pPr>
        <w:widowControl/>
        <w:numPr>
          <w:ilvl w:val="0"/>
          <w:numId w:val="8"/>
        </w:numPr>
        <w:tabs>
          <w:tab w:val="left" w:pos="1365"/>
          <w:tab w:val="left" w:pos="1560"/>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如果乙方未能履行合同规定的其它任何义务达到合同约定的甲方有权解除合同的情形或者因此导致合同目的无法实现的。</w:t>
      </w:r>
    </w:p>
    <w:p>
      <w:pPr>
        <w:widowControl/>
        <w:numPr>
          <w:ilvl w:val="0"/>
          <w:numId w:val="8"/>
        </w:numPr>
        <w:tabs>
          <w:tab w:val="left" w:pos="1365"/>
          <w:tab w:val="left" w:pos="1560"/>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如果甲方认为乙方在本合同的竞争和实施过程中有腐败和欺诈行为。为此目的，定义下述条件：</w:t>
      </w:r>
    </w:p>
    <w:p>
      <w:pPr>
        <w:widowControl/>
        <w:numPr>
          <w:ilvl w:val="1"/>
          <w:numId w:val="8"/>
        </w:numPr>
        <w:tabs>
          <w:tab w:val="left" w:pos="394"/>
          <w:tab w:val="left" w:pos="1470"/>
        </w:tabs>
        <w:snapToGrid w:val="0"/>
        <w:spacing w:line="360" w:lineRule="auto"/>
        <w:ind w:left="1575" w:hanging="42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腐败行为</w:t>
      </w:r>
      <w:r>
        <w:rPr>
          <w:rFonts w:ascii="宋体" w:eastAsia="宋体" w:hAnsi="宋体" w:hint="eastAsia"/>
          <w:lang w:val="en-US" w:eastAsia="en-US" w:bidi="ar-SA"/>
        </w:rPr>
        <w:t>”</w:t>
      </w:r>
      <w:r>
        <w:rPr>
          <w:rFonts w:ascii="宋体" w:eastAsia="宋体" w:hAnsi="宋体" w:hint="eastAsia"/>
          <w:lang w:val="en-US" w:eastAsia="en-US" w:bidi="ar-SA"/>
        </w:rPr>
        <w:t>是指提供、给予、接受或索取任何有价值的物品来影响相关人员在采购过程或合同实施过程中的行为。</w:t>
      </w:r>
    </w:p>
    <w:p>
      <w:pPr>
        <w:widowControl/>
        <w:numPr>
          <w:ilvl w:val="1"/>
          <w:numId w:val="8"/>
        </w:numPr>
        <w:tabs>
          <w:tab w:val="left" w:pos="394"/>
          <w:tab w:val="left" w:pos="1470"/>
        </w:tabs>
        <w:snapToGrid w:val="0"/>
        <w:spacing w:line="360" w:lineRule="auto"/>
        <w:ind w:left="1575" w:hanging="420"/>
        <w:rPr>
          <w:rFonts w:eastAsia="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欺诈行为</w:t>
      </w:r>
      <w:r>
        <w:rPr>
          <w:rFonts w:ascii="宋体" w:eastAsia="宋体" w:hAnsi="宋体" w:hint="eastAsia"/>
          <w:lang w:val="en-US" w:eastAsia="en-US" w:bidi="ar-SA"/>
        </w:rPr>
        <w:t>”</w:t>
      </w:r>
      <w:r>
        <w:rPr>
          <w:rFonts w:ascii="宋体" w:eastAsia="宋体" w:hAnsi="宋体" w:hint="eastAsia"/>
          <w:lang w:val="en-US" w:eastAsia="en-US" w:bidi="ar-SA"/>
        </w:rPr>
        <w:t>是指为了影响采购过程或合同实施过程而恶意隐瞒或谎报事实，损害甲方利益的行为。</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b/>
          <w:lang w:val="en-US" w:eastAsia="en-US" w:bidi="ar-SA"/>
        </w:rPr>
      </w:pPr>
      <w:r>
        <w:rPr>
          <w:rFonts w:ascii="宋体" w:eastAsia="宋体" w:hAnsi="宋体" w:hint="eastAsia"/>
          <w:b/>
          <w:lang w:val="en-US" w:eastAsia="en-US" w:bidi="ar-SA"/>
        </w:rPr>
        <w:t>不可抗力</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因合同一方迟延履行合同后发生不可抗力的，不能免除迟延履行方的相应责任。</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因破产解除合同</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如果乙方破产或无清偿能力，甲方可在任何时候以书面形式通知乙方，提出解除合同，合同解除前如果乙方只提供了部分服务且该部分服务可以满足甲方采购服务最终要实现的目的的，甲方仅就该部分服务支付相应费用，并有权不支付乙方未履行合同义务部分相对应的合同价款。该合同将不损害或影响甲方已经采取或将要采取的任何行动或补救措施的权利。</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争议的解决</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因执行本合同所发生的或与本合同有关的一切争议，双方应通过友好协商解决。如果协商不能解决，双方确定通过向甲方住所地有管辖权的人民法院提起诉讼方式解决争议。</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合同语言</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本合同语言为简体中文。双方交换的与合同有关的信函均用简体中文书写。</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适用法律</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本合同应按照中华人民共和国的现行法律进行解释。</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通知</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本合同一方给对方的通知应用书面形式送到合同中规定的对方的地址。</w:t>
      </w:r>
    </w:p>
    <w:p>
      <w:pPr>
        <w:widowControl/>
        <w:numPr>
          <w:ilvl w:val="1"/>
          <w:numId w:val="5"/>
        </w:numPr>
        <w:tabs>
          <w:tab w:val="left" w:pos="495"/>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通知以送到日期或通知书的落款日期为生效日期，两者中以晚的一个日期为准。</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税款</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本合同项下乙方所提供的服务的所有税费均已包含于合同价格，甲方不再另行支付。按照中华人民共和国税法和有关部门的规定，乙方需交纳的与本合同有关的一切税费均应由乙方负担。</w:t>
      </w:r>
    </w:p>
    <w:p>
      <w:pPr>
        <w:widowControl/>
        <w:numPr>
          <w:ilvl w:val="0"/>
          <w:numId w:val="5"/>
        </w:numPr>
        <w:tabs>
          <w:tab w:val="left" w:pos="0"/>
          <w:tab w:val="left" w:pos="420"/>
          <w:tab w:val="left" w:pos="60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合同生效及其他</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本合同以双方法定代表人或授权代表签字、加盖双方单位印章并且甲方收到乙方提交的履约保证金（如适用）后生效。</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tabs>
          <w:tab w:val="left" w:pos="420"/>
          <w:tab w:val="left" w:pos="709"/>
        </w:tabs>
        <w:adjustRightInd w:val="0"/>
        <w:snapToGrid w:val="0"/>
        <w:spacing w:before="312" w:beforeLines="100" w:line="360" w:lineRule="auto"/>
        <w:ind w:left="120" w:firstLine="600" w:leftChars="50" w:firstLineChars="250"/>
        <w:outlineLvl w:val="2"/>
        <w:rPr>
          <w:rFonts w:ascii="宋体" w:eastAsia="宋体" w:hAnsi="宋体" w:hint="eastAsia"/>
          <w:b/>
          <w:lang w:val="en-US" w:eastAsia="en-US" w:bidi="ar-SA"/>
        </w:rPr>
      </w:pPr>
      <w:r>
        <w:rPr>
          <w:rFonts w:ascii="宋体" w:eastAsia="宋体" w:hAnsi="宋体" w:hint="eastAsia"/>
          <w:b/>
          <w:lang w:val="en-US" w:eastAsia="en-US" w:bidi="ar-SA"/>
        </w:rPr>
        <w:t>本合同条款未尽事宜，采购人可与中标（成交）供应商根据《中华人民共和国民法典》及有关法律的规定，在不实质违反采购文件及供应商投标（响应）文件内容的基础上，自行协商确定。</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widowControl/>
        <w:numPr>
          <w:ilvl w:val="0"/>
          <w:numId w:val="4"/>
        </w:numPr>
        <w:tabs>
          <w:tab w:val="left" w:pos="432"/>
          <w:tab w:val="left" w:pos="576"/>
          <w:tab w:val="left" w:pos="851"/>
          <w:tab w:val="left" w:pos="1980"/>
        </w:tabs>
        <w:spacing w:before="260" w:after="260" w:line="360" w:lineRule="auto"/>
        <w:ind w:left="1980" w:hanging="1980"/>
        <w:jc w:val="center"/>
        <w:outlineLvl w:val="1"/>
        <w:rPr>
          <w:rFonts w:ascii="宋体" w:eastAsia="宋体" w:hAnsi="宋体" w:cs="宋体" w:hint="eastAsia"/>
          <w:b/>
          <w:bCs/>
          <w:lang w:val="en-US" w:eastAsia="en-US" w:bidi="ar-SA"/>
        </w:rPr>
      </w:pPr>
      <w:r>
        <w:rPr>
          <w:rFonts w:ascii="华文细黑" w:eastAsia="华文细黑" w:hAnsi="Arial" w:cs="宋体" w:hint="eastAsia"/>
          <w:sz w:val="44"/>
          <w:lang w:val="en-US" w:eastAsia="en-US" w:bidi="ar-SA"/>
        </w:rPr>
        <w:br w:type="page"/>
      </w:r>
      <w:bookmarkStart w:id="66" w:name="_Toc256000011"/>
      <w:r>
        <w:rPr>
          <w:rFonts w:ascii="宋体" w:eastAsia="宋体" w:hAnsi="宋体" w:cs="宋体" w:hint="eastAsia"/>
          <w:b/>
          <w:bCs/>
          <w:lang w:val="en-US" w:eastAsia="en-US" w:bidi="ar-SA"/>
        </w:rPr>
        <w:t>合同格式</w:t>
      </w:r>
      <w:bookmarkEnd w:id="66"/>
    </w:p>
    <w:p>
      <w:pPr>
        <w:tabs>
          <w:tab w:val="left" w:pos="432"/>
          <w:tab w:val="left" w:pos="576"/>
          <w:tab w:val="left" w:pos="851"/>
        </w:tabs>
        <w:spacing w:before="260" w:after="260"/>
        <w:jc w:val="center"/>
        <w:outlineLvl w:val="1"/>
        <w:rPr>
          <w:rFonts w:ascii="宋体" w:eastAsia="宋体" w:hAnsi="宋体" w:cs="宋体" w:hint="eastAsia"/>
          <w:b/>
          <w:bCs/>
          <w:lang w:val="en-US" w:eastAsia="en-US" w:bidi="ar-SA"/>
        </w:rPr>
      </w:pPr>
    </w:p>
    <w:p>
      <w:pPr>
        <w:widowControl/>
        <w:snapToGrid w:val="0"/>
        <w:spacing w:line="360" w:lineRule="auto"/>
        <w:rPr>
          <w:rFonts w:ascii="宋体" w:eastAsia="宋体" w:hAnsi="宋体" w:hint="eastAsia"/>
          <w:lang w:val="en-US" w:eastAsia="en-US" w:bidi="ar-SA"/>
        </w:rPr>
      </w:pP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 xml:space="preserve"> ）为一方和 </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 xml:space="preserve"> ）为一方同意按下述条款和条件签署本合同（以下简称</w:t>
      </w: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 xml:space="preserve"> ）：</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合同文件</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本合同所附下列文件是构成本合同不可分割的部分：</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合同条款及附表</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供应商提交的投标（响应）声明函和报价表</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技术规格（包括图纸，如果有的话）</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澄清函及有关文件</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中标（成交）通知书</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采购文件</w:t>
      </w:r>
    </w:p>
    <w:p>
      <w:pPr>
        <w:widowControl/>
        <w:numPr>
          <w:ilvl w:val="0"/>
          <w:numId w:val="10"/>
        </w:numPr>
        <w:tabs>
          <w:tab w:val="left" w:pos="1005"/>
        </w:tabs>
        <w:snapToGrid w:val="0"/>
        <w:spacing w:line="360" w:lineRule="auto"/>
        <w:ind w:left="1005" w:hanging="720"/>
        <w:rPr>
          <w:rFonts w:ascii="宋体" w:eastAsia="宋体" w:hAnsi="宋体" w:hint="eastAsia"/>
          <w:lang w:val="en-US" w:eastAsia="en-US" w:bidi="ar-SA"/>
        </w:rPr>
      </w:pPr>
      <w:r>
        <w:rPr>
          <w:rFonts w:ascii="宋体" w:eastAsia="宋体" w:hAnsi="宋体" w:hint="eastAsia"/>
          <w:lang w:val="en-US" w:eastAsia="en-US" w:bidi="ar-SA"/>
        </w:rPr>
        <w:t>投标（响应）文件</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合同范围和条件</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本合同的范围和条件应与上述合同文件的规定相一致。</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服务内容</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本合同所提供的服务内容详见采购文件和投标（响应）文件。</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服务时间和地点</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本合同服务时间和地点在本项目采购文件中有明确规定。</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合同金额</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根据上述合同文件要求，合同的总金额为</w:t>
      </w:r>
      <w:r>
        <w:rPr>
          <w:rFonts w:ascii="宋体" w:eastAsia="宋体" w:hAnsi="宋体" w:hint="eastAsia"/>
          <w:i/>
          <w:color w:val="FF0000"/>
          <w:u w:val="single"/>
          <w:lang w:val="en-US" w:eastAsia="en-US" w:bidi="ar-SA"/>
        </w:rPr>
        <w:t xml:space="preserve">         </w:t>
      </w:r>
      <w:r>
        <w:rPr>
          <w:rFonts w:ascii="宋体" w:eastAsia="宋体" w:hAnsi="宋体" w:hint="eastAsia"/>
          <w:lang w:val="en-US" w:eastAsia="en-US" w:bidi="ar-SA"/>
        </w:rPr>
        <w:t>元人民币，分项价格在报价表中有明确规定。</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付款条件</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本合同付款条件在采购文件中有明确规定。</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widowControl/>
        <w:numPr>
          <w:ilvl w:val="1"/>
          <w:numId w:val="9"/>
        </w:numPr>
        <w:tabs>
          <w:tab w:val="left" w:pos="420"/>
          <w:tab w:val="left" w:pos="600"/>
          <w:tab w:val="left" w:pos="709"/>
        </w:tabs>
        <w:adjustRightInd w:val="0"/>
        <w:snapToGrid w:val="0"/>
        <w:spacing w:before="312" w:beforeLines="100" w:line="360" w:lineRule="auto"/>
        <w:ind w:left="1309" w:hanging="600"/>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乙方应在与甲方签订合同后</w:t>
      </w:r>
      <w:r>
        <w:rPr>
          <w:rFonts w:ascii="宋体" w:eastAsia="宋体" w:hAnsi="宋体" w:hint="eastAsia"/>
          <w:color w:val="FF0000"/>
          <w:u w:val="single"/>
          <w:lang w:val="en-US" w:eastAsia="en-US" w:bidi="ar-SA"/>
        </w:rPr>
        <w:t xml:space="preserve">    个工作日</w:t>
      </w:r>
      <w:r>
        <w:rPr>
          <w:rFonts w:ascii="宋体" w:eastAsia="宋体" w:hAnsi="宋体" w:hint="eastAsia"/>
          <w:lang w:val="en-US" w:eastAsia="en-US" w:bidi="ar-SA"/>
        </w:rPr>
        <w:t>内，向甲方提供合同总金额</w:t>
      </w:r>
      <w:r>
        <w:rPr>
          <w:rFonts w:ascii="宋体" w:eastAsia="宋体" w:hAnsi="宋体" w:hint="eastAsia"/>
          <w:color w:val="FF0000"/>
          <w:u w:val="single"/>
          <w:lang w:val="en-US" w:eastAsia="en-US" w:bidi="ar-SA"/>
        </w:rPr>
        <w:t xml:space="preserve">   %</w:t>
      </w:r>
      <w:r>
        <w:rPr>
          <w:rFonts w:ascii="宋体" w:eastAsia="宋体" w:hAnsi="宋体" w:hint="eastAsia"/>
          <w:lang w:val="en-US" w:eastAsia="en-US" w:bidi="ar-SA"/>
        </w:rPr>
        <w:t>的履约保证金。</w:t>
      </w:r>
    </w:p>
    <w:p>
      <w:pPr>
        <w:widowControl/>
        <w:numPr>
          <w:ilvl w:val="1"/>
          <w:numId w:val="9"/>
        </w:numPr>
        <w:tabs>
          <w:tab w:val="left" w:pos="420"/>
          <w:tab w:val="left" w:pos="600"/>
          <w:tab w:val="left" w:pos="709"/>
        </w:tabs>
        <w:adjustRightInd w:val="0"/>
        <w:snapToGrid w:val="0"/>
        <w:spacing w:before="312" w:beforeLines="100" w:line="360" w:lineRule="auto"/>
        <w:ind w:left="1309" w:hanging="600"/>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如果乙方能按约全面履行合同义务，甲方将在</w:t>
      </w:r>
      <w:r>
        <w:rPr>
          <w:rFonts w:ascii="宋体" w:eastAsia="宋体" w:hAnsi="宋体" w:hint="eastAsia"/>
          <w:i/>
          <w:color w:val="FF0000"/>
          <w:u w:val="single"/>
          <w:lang w:val="en-US" w:eastAsia="en-US" w:bidi="ar-SA"/>
        </w:rPr>
        <w:t xml:space="preserve">         （服务期满后/质量保证期满后）</w:t>
      </w:r>
      <w:r>
        <w:rPr>
          <w:rFonts w:ascii="宋体" w:eastAsia="宋体" w:hAnsi="宋体" w:hint="eastAsia"/>
          <w:color w:val="FF0000"/>
          <w:u w:val="single"/>
          <w:lang w:val="en-US" w:eastAsia="en-US" w:bidi="ar-SA"/>
        </w:rPr>
        <w:t xml:space="preserve">     个工作日内</w:t>
      </w:r>
      <w:r>
        <w:rPr>
          <w:rFonts w:ascii="宋体" w:eastAsia="宋体" w:hAnsi="宋体" w:hint="eastAsia"/>
          <w:lang w:val="en-US" w:eastAsia="en-US" w:bidi="ar-SA"/>
        </w:rPr>
        <w:t>退还履约保证金（不计利息）。</w:t>
      </w:r>
    </w:p>
    <w:p>
      <w:pPr>
        <w:widowControl/>
        <w:numPr>
          <w:ilvl w:val="1"/>
          <w:numId w:val="9"/>
        </w:numPr>
        <w:tabs>
          <w:tab w:val="left" w:pos="420"/>
          <w:tab w:val="left" w:pos="600"/>
          <w:tab w:val="left" w:pos="709"/>
        </w:tabs>
        <w:adjustRightInd w:val="0"/>
        <w:snapToGrid w:val="0"/>
        <w:spacing w:before="312" w:beforeLines="100" w:line="360" w:lineRule="auto"/>
        <w:ind w:left="1309" w:hanging="600"/>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甲方逾期退还履约保证金的，乙方有权要求甲方自约定的退还期限届满次日起，每逾期一日，按应退还的履约保证金款项的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支付违约金，直至实际退还之日为止。因乙方原因造成甲方逾期退还履约保证金的除外。</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转让和分包责任</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乙方违反合同约定转让合同权利、义务或者分包的，乙方应当向甲方支付合同总价</w:t>
      </w:r>
      <w:r>
        <w:rPr>
          <w:rFonts w:ascii="宋体" w:eastAsia="宋体" w:hAnsi="宋体" w:hint="eastAsia"/>
          <w:color w:val="FF0000"/>
          <w:u w:val="single"/>
          <w:lang w:val="en-US" w:eastAsia="en-US" w:bidi="ar-SA"/>
        </w:rPr>
        <w:t>30%</w:t>
      </w:r>
      <w:r>
        <w:rPr>
          <w:rFonts w:ascii="宋体" w:eastAsia="宋体" w:hAnsi="宋体" w:hint="eastAsia"/>
          <w:lang w:val="en-US" w:eastAsia="en-US" w:bidi="ar-SA"/>
        </w:rPr>
        <w:t>的违约金，并且，于此情形下甲方有权决定提前解除合同。</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延期交付责任</w:t>
      </w:r>
    </w:p>
    <w:p>
      <w:pPr>
        <w:widowControl/>
        <w:numPr>
          <w:ilvl w:val="1"/>
          <w:numId w:val="9"/>
        </w:numPr>
        <w:tabs>
          <w:tab w:val="left" w:pos="420"/>
          <w:tab w:val="left" w:pos="600"/>
          <w:tab w:val="left" w:pos="709"/>
        </w:tabs>
        <w:adjustRightInd w:val="0"/>
        <w:snapToGrid w:val="0"/>
        <w:spacing w:before="312" w:beforeLines="100" w:line="360" w:lineRule="auto"/>
        <w:ind w:left="1309" w:hanging="600"/>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除遇到合同规定的不可抗力情况外，如果乙方没有按照合同的时间提供服务，甲方应在不影响合同项下的其他补救措施的情况下，有权从合同款项中扣除乙方应当支付的违约金。每延误一天的，乙方应当按</w:t>
      </w:r>
      <w:r>
        <w:rPr>
          <w:rFonts w:ascii="宋体" w:eastAsia="宋体" w:hAnsi="宋体" w:hint="eastAsia"/>
          <w:u w:val="single"/>
          <w:lang w:val="en-US" w:eastAsia="en-US" w:bidi="ar-SA"/>
        </w:rPr>
        <w:t>延迟服务的费用的</w:t>
      </w:r>
      <w:r>
        <w:rPr>
          <w:rFonts w:ascii="宋体" w:eastAsia="宋体" w:hAnsi="宋体" w:hint="eastAsia"/>
          <w:color w:val="FF0000"/>
          <w:u w:val="single"/>
          <w:lang w:val="en-US" w:eastAsia="en-US" w:bidi="ar-SA"/>
        </w:rPr>
        <w:t xml:space="preserve"> 0.04％</w:t>
      </w:r>
      <w:r>
        <w:rPr>
          <w:rFonts w:ascii="宋体" w:eastAsia="宋体" w:hAnsi="宋体" w:hint="eastAsia"/>
          <w:lang w:val="en-US" w:eastAsia="en-US" w:bidi="ar-SA"/>
        </w:rPr>
        <w:t xml:space="preserve">向甲方支付违约金，直至实际交付为止。延期交付超过 </w:t>
      </w:r>
      <w:r>
        <w:rPr>
          <w:rFonts w:ascii="宋体" w:eastAsia="宋体" w:hAnsi="宋体" w:hint="eastAsia"/>
          <w:color w:val="FF0000"/>
          <w:u w:val="single"/>
          <w:lang w:val="en-US" w:eastAsia="en-US" w:bidi="ar-SA"/>
        </w:rPr>
        <w:t>30日</w:t>
      </w:r>
      <w:r>
        <w:rPr>
          <w:rFonts w:ascii="宋体" w:eastAsia="宋体" w:hAnsi="宋体" w:hint="eastAsia"/>
          <w:lang w:val="en-US" w:eastAsia="en-US" w:bidi="ar-SA"/>
        </w:rPr>
        <w:t>时，甲方有权根据合同条款规定解除合同，甲方因此解除合同的，乙方应当支付合同价格</w:t>
      </w:r>
      <w:r>
        <w:rPr>
          <w:rFonts w:ascii="宋体" w:eastAsia="宋体" w:hAnsi="宋体" w:hint="eastAsia"/>
          <w:color w:val="FF0000"/>
          <w:u w:val="single"/>
          <w:lang w:val="en-US" w:eastAsia="en-US" w:bidi="ar-SA"/>
        </w:rPr>
        <w:t xml:space="preserve"> 30 % </w:t>
      </w:r>
      <w:r>
        <w:rPr>
          <w:rFonts w:ascii="宋体" w:eastAsia="宋体" w:hAnsi="宋体" w:hint="eastAsia"/>
          <w:lang w:val="en-US" w:eastAsia="en-US" w:bidi="ar-SA"/>
        </w:rPr>
        <w:t>的违约金作为赔偿。</w:t>
      </w:r>
    </w:p>
    <w:p>
      <w:pPr>
        <w:widowControl/>
        <w:numPr>
          <w:ilvl w:val="1"/>
          <w:numId w:val="9"/>
        </w:numPr>
        <w:tabs>
          <w:tab w:val="left" w:pos="420"/>
          <w:tab w:val="left" w:pos="600"/>
          <w:tab w:val="left" w:pos="705"/>
        </w:tabs>
        <w:adjustRightInd w:val="0"/>
        <w:snapToGrid w:val="0"/>
        <w:spacing w:before="312" w:beforeLines="100" w:line="360" w:lineRule="auto"/>
        <w:ind w:left="1309" w:hanging="600"/>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除遇到合同规定的不可抗力情况外，如果甲方没有按照本合同约定的时间付款，那么乙方可要求甲方支付违约金。每逾期付款一日的，甲方应当按应付而</w:t>
      </w:r>
      <w:r>
        <w:rPr>
          <w:rFonts w:ascii="宋体" w:eastAsia="宋体" w:hAnsi="宋体" w:hint="eastAsia"/>
          <w:u w:val="single"/>
          <w:lang w:val="en-US" w:eastAsia="en-US" w:bidi="ar-SA"/>
        </w:rPr>
        <w:t>未付款的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向乙方支付违约金，直至实际付款之日为止；逾期付款超过</w:t>
      </w:r>
      <w:r>
        <w:rPr>
          <w:rFonts w:ascii="宋体" w:eastAsia="宋体" w:hAnsi="宋体" w:hint="eastAsia"/>
          <w:color w:val="FF0000"/>
          <w:u w:val="single"/>
          <w:lang w:val="en-US" w:eastAsia="en-US" w:bidi="ar-SA"/>
        </w:rPr>
        <w:t>180日</w:t>
      </w:r>
      <w:r>
        <w:rPr>
          <w:rFonts w:ascii="宋体" w:eastAsia="宋体" w:hAnsi="宋体" w:hint="eastAsia"/>
          <w:lang w:val="en-US" w:eastAsia="en-US" w:bidi="ar-SA"/>
        </w:rPr>
        <w:t>时，乙方有权在要求甲方支付违约金的同时，书面通知甲方解除本合同。</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违反保密责任</w:t>
      </w:r>
    </w:p>
    <w:p>
      <w:pPr>
        <w:widowControl/>
        <w:numPr>
          <w:ilvl w:val="1"/>
          <w:numId w:val="9"/>
        </w:numPr>
        <w:tabs>
          <w:tab w:val="left" w:pos="600"/>
          <w:tab w:val="left" w:pos="630"/>
          <w:tab w:val="left" w:pos="709"/>
        </w:tabs>
        <w:adjustRightInd w:val="0"/>
        <w:snapToGrid w:val="0"/>
        <w:spacing w:line="360" w:lineRule="auto"/>
        <w:ind w:left="600" w:hanging="600"/>
        <w:rPr>
          <w:rFonts w:ascii="宋体" w:eastAsia="宋体" w:hAnsi="宋体" w:hint="eastAsia"/>
          <w:lang w:val="en-US" w:eastAsia="en-US" w:bidi="ar-SA"/>
        </w:rPr>
      </w:pPr>
      <w:r>
        <w:rPr>
          <w:rFonts w:ascii="宋体" w:eastAsia="宋体" w:hAnsi="宋体" w:hint="eastAsia"/>
          <w:lang w:val="en-US" w:eastAsia="en-US" w:bidi="ar-SA"/>
        </w:rPr>
        <w:t>乙方未按照合同约定严格履行保密义务的，应当向甲方支付合同总价</w:t>
      </w:r>
      <w:r>
        <w:rPr>
          <w:rFonts w:ascii="宋体" w:eastAsia="宋体" w:hAnsi="宋体" w:hint="eastAsia"/>
          <w:color w:val="FF0000"/>
          <w:u w:val="single"/>
          <w:lang w:val="en-US" w:eastAsia="en-US" w:bidi="ar-SA"/>
        </w:rPr>
        <w:t>10%</w:t>
      </w:r>
      <w:r>
        <w:rPr>
          <w:rFonts w:ascii="宋体" w:eastAsia="宋体" w:hAnsi="宋体" w:hint="eastAsia"/>
          <w:lang w:val="en-US" w:eastAsia="en-US" w:bidi="ar-SA"/>
        </w:rPr>
        <w:t>的违约金，于此情形下，甲方还有权提前解除合同。</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合同生效</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本合同经双方法定代表人或授权代表签字、加盖双方单位印章并且甲方收到乙方提交的履约保证金（如适用）后生效。</w:t>
      </w:r>
    </w:p>
    <w:p>
      <w:pPr>
        <w:widowControl/>
        <w:snapToGrid w:val="0"/>
        <w:spacing w:before="312"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根据《财政部关于推进完善服务项目政府采购问题的通知》（财库</w:t>
      </w:r>
      <w:r>
        <w:rPr>
          <w:rFonts w:ascii="宋体" w:eastAsia="宋体" w:hAnsi="宋体" w:hint="eastAsia"/>
          <w:lang w:val="en-US" w:eastAsia="en-US" w:bidi="ar-SA"/>
        </w:rPr>
        <w:t>﹝</w:t>
      </w:r>
      <w:r>
        <w:rPr>
          <w:rFonts w:ascii="宋体" w:eastAsia="宋体" w:hAnsi="宋体" w:hint="eastAsia"/>
          <w:lang w:val="en-US" w:eastAsia="en-US" w:bidi="ar-SA"/>
        </w:rPr>
        <w:t>2014</w:t>
      </w:r>
      <w:r>
        <w:rPr>
          <w:rFonts w:ascii="宋体" w:eastAsia="宋体" w:hAnsi="宋体" w:hint="eastAsia"/>
          <w:lang w:val="en-US" w:eastAsia="en-US" w:bidi="ar-SA"/>
        </w:rPr>
        <w:t>﹞</w:t>
      </w:r>
      <w:r>
        <w:rPr>
          <w:rFonts w:ascii="宋体" w:eastAsia="宋体" w:hAnsi="宋体" w:hint="eastAsia"/>
          <w:lang w:val="en-US" w:eastAsia="en-US" w:bidi="ar-SA"/>
        </w:rPr>
        <w:t>37号）规定：</w:t>
      </w:r>
      <w:r>
        <w:rPr>
          <w:rFonts w:ascii="宋体" w:eastAsia="宋体" w:hAnsi="宋体" w:hint="eastAsia"/>
          <w:lang w:val="en-US" w:eastAsia="en-US" w:bidi="ar-SA"/>
        </w:rPr>
        <w:t>“</w:t>
      </w:r>
      <w:r>
        <w:rPr>
          <w:rFonts w:ascii="宋体" w:eastAsia="宋体" w:hAnsi="宋体" w:hint="eastAsia"/>
          <w:lang w:val="en-US" w:eastAsia="en-US" w:bidi="ar-SA"/>
        </w:rPr>
        <w:t>采购需求具有相对固定性、延续性且价格变化幅度小的服务项目，在年度预算能保障的前提下，采购人可以签订不超过三年履行期限的政府采购合同</w:t>
      </w:r>
      <w:r>
        <w:rPr>
          <w:rFonts w:ascii="宋体" w:eastAsia="宋体" w:hAnsi="宋体" w:hint="eastAsia"/>
          <w:lang w:val="en-US" w:eastAsia="en-US" w:bidi="ar-SA"/>
        </w:rPr>
        <w:t>”</w:t>
      </w:r>
      <w:r>
        <w:rPr>
          <w:rFonts w:ascii="宋体" w:eastAsia="宋体" w:hAnsi="宋体" w:hint="eastAsia"/>
          <w:lang w:val="en-US" w:eastAsia="en-US" w:bidi="ar-SA"/>
        </w:rPr>
        <w:t>，如果本服务项目符合上述文件规定，经甲乙双方协商同意，可根据实际情况依法续签合同。</w:t>
      </w:r>
    </w:p>
    <w:p>
      <w:pPr>
        <w:widowControl/>
        <w:numPr>
          <w:ilvl w:val="0"/>
          <w:numId w:val="9"/>
        </w:numPr>
        <w:tabs>
          <w:tab w:val="left" w:pos="420"/>
          <w:tab w:val="left" w:pos="705"/>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其它</w:t>
      </w:r>
    </w:p>
    <w:p>
      <w:pPr>
        <w:widowControl/>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本合同一式</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份，其中甲方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份，乙方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份，采购中心</w:t>
      </w:r>
      <w:r>
        <w:rPr>
          <w:rFonts w:ascii="宋体" w:eastAsia="宋体" w:hAnsi="宋体" w:hint="eastAsia"/>
          <w:b/>
          <w:u w:val="single"/>
          <w:lang w:val="en-US" w:eastAsia="en-US" w:bidi="ar-SA"/>
        </w:rPr>
        <w:t>1</w:t>
      </w:r>
      <w:r>
        <w:rPr>
          <w:rFonts w:ascii="宋体" w:eastAsia="宋体" w:hAnsi="宋体" w:hint="eastAsia"/>
          <w:lang w:val="en-US" w:eastAsia="en-US" w:bidi="ar-SA"/>
        </w:rPr>
        <w:t>份。</w:t>
      </w:r>
    </w:p>
    <w:p>
      <w:pPr>
        <w:widowControl/>
        <w:snapToGrid w:val="0"/>
        <w:spacing w:line="360" w:lineRule="auto"/>
        <w:rPr>
          <w:rFonts w:ascii="宋体" w:eastAsia="宋体" w:hAnsi="宋体" w:hint="eastAsia"/>
          <w:lang w:val="en-US" w:eastAsia="en-US" w:bidi="ar-SA"/>
        </w:rPr>
      </w:pPr>
    </w:p>
    <w:p>
      <w:pPr>
        <w:widowControl/>
        <w:snapToGrid w:val="0"/>
        <w:spacing w:line="360" w:lineRule="auto"/>
        <w:rPr>
          <w:rFonts w:ascii="宋体" w:eastAsia="宋体" w:hAnsi="宋体" w:hint="eastAsia"/>
          <w:lang w:val="en-US" w:eastAsia="en-US" w:bidi="ar-SA"/>
        </w:rPr>
      </w:pPr>
    </w:p>
    <w:p>
      <w:pPr>
        <w:widowControl/>
        <w:snapToGrid w:val="0"/>
        <w:spacing w:line="360" w:lineRule="auto"/>
        <w:rPr>
          <w:rFonts w:ascii="宋体" w:eastAsia="宋体" w:hAnsi="宋体" w:hint="eastAsia"/>
          <w:lang w:val="en-US" w:eastAsia="en-US" w:bidi="ar-SA"/>
        </w:rPr>
      </w:pPr>
    </w:p>
    <w:p>
      <w:pPr>
        <w:widowControl/>
        <w:snapToGrid w:val="0"/>
        <w:spacing w:line="360" w:lineRule="auto"/>
        <w:rPr>
          <w:rFonts w:ascii="宋体" w:eastAsia="宋体" w:hAnsi="宋体" w:hint="eastAsia"/>
          <w:lang w:val="en-US" w:eastAsia="en-US" w:bidi="ar-SA"/>
        </w:rPr>
      </w:pPr>
    </w:p>
    <w:p>
      <w:pPr>
        <w:widowControl/>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甲方名称（盖章）                    乙方名称（盖章）</w:t>
      </w:r>
    </w:p>
    <w:p>
      <w:pPr>
        <w:widowControl/>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甲方代表签字：                      乙方代表签字：</w:t>
      </w:r>
    </w:p>
    <w:p>
      <w:pPr>
        <w:widowControl/>
        <w:snapToGrid w:val="0"/>
        <w:spacing w:line="360" w:lineRule="auto"/>
        <w:rPr>
          <w:rFonts w:ascii="宋体" w:eastAsia="宋体" w:hAnsi="宋体" w:hint="eastAsia"/>
          <w:lang w:val="en-US" w:eastAsia="en-US" w:bidi="ar-SA"/>
        </w:rPr>
      </w:pPr>
    </w:p>
    <w:p>
      <w:pPr>
        <w:widowControl/>
        <w:snapToGrid w:val="0"/>
        <w:spacing w:line="360" w:lineRule="auto"/>
        <w:rPr>
          <w:rFonts w:eastAsia="宋体" w:hint="eastAsia"/>
          <w:b/>
          <w:bCs/>
          <w:lang w:val="en-US" w:eastAsia="en-US" w:bidi="ar-SA"/>
        </w:rPr>
      </w:pPr>
      <w:r>
        <w:rPr>
          <w:rFonts w:ascii="宋体" w:eastAsia="宋体" w:hAnsi="宋体" w:hint="eastAsia"/>
          <w:lang w:val="en-US" w:eastAsia="en-US" w:bidi="ar-SA"/>
        </w:rPr>
        <w:t>签订地点：                      签订日期：</w:t>
      </w:r>
      <w:r>
        <w:rPr>
          <w:rFonts w:ascii="宋体" w:eastAsia="宋体" w:hAnsi="宋体" w:hint="eastAsia"/>
          <w:u w:val="single"/>
          <w:lang w:val="en-US" w:eastAsia="en-US" w:bidi="ar-SA"/>
        </w:rPr>
        <w:t xml:space="preserve">    年     月    日</w:t>
      </w:r>
    </w:p>
    <w:p>
      <w:pPr>
        <w:widowControl/>
        <w:snapToGrid w:val="0"/>
        <w:spacing w:before="156" w:beforeLines="50" w:line="300" w:lineRule="auto"/>
        <w:ind w:left="420"/>
        <w:jc w:val="center"/>
        <w:rPr>
          <w:rFonts w:ascii="宋体" w:eastAsia="宋体" w:hAnsi="宋体"/>
          <w:b/>
          <w:bCs/>
          <w:lang w:val="en-US" w:eastAsia="en-US" w:bidi="ar-SA"/>
        </w:rPr>
      </w:pPr>
    </w:p>
    <w:p>
      <w:pPr>
        <w:widowControl/>
        <w:snapToGrid w:val="0"/>
        <w:spacing w:before="156" w:beforeLines="50" w:line="300" w:lineRule="auto"/>
        <w:ind w:left="420"/>
        <w:jc w:val="center"/>
        <w:rPr>
          <w:rFonts w:ascii="宋体" w:eastAsia="宋体" w:hAnsi="宋体" w:hint="eastAsia"/>
          <w:b/>
          <w:bCs/>
          <w:lang w:val="en-US" w:eastAsia="en-US" w:bidi="ar-SA"/>
        </w:rPr>
      </w:pPr>
    </w:p>
    <w:p>
      <w:pPr>
        <w:widowControl/>
        <w:spacing w:line="360" w:lineRule="auto"/>
        <w:rPr>
          <w:rFonts w:ascii="宋体" w:eastAsia="宋体" w:hAnsi="宋体" w:hint="eastAsia"/>
          <w:lang w:val="en-US" w:eastAsia="en-US" w:bidi="ar-SA"/>
        </w:rPr>
      </w:pPr>
    </w:p>
    <w:p>
      <w:pPr>
        <w:rPr>
          <w:lang w:val="en-US" w:eastAsia="en-US" w:bidi="ar-SA"/>
        </w:rPr>
      </w:pPr>
    </w:p>
    <w:sectPr>
      <w:type w:val="continuous"/>
      <w:pgSz w:w="11906" w:h="16838"/>
      <w:pgMar w:top="1440" w:right="1800" w:bottom="1440" w:left="1800" w:header="851" w:footer="992"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altName w:val="DejaVu Sans"/>
    <w:panose1 w:val="02020603050405020304"/>
    <w:charset w:val="CC"/>
    <w:family w:val="roman"/>
    <w:pitch w:val="variable"/>
    <w:sig w:usb0="20007A87" w:usb1="80000000" w:usb2="00000008" w:usb3="00000000" w:csb0="000001FF" w:csb1="00000000"/>
  </w:font>
  <w:font w:name="Symbol">
    <w:altName w:val="MathJax_Vector"/>
    <w:panose1 w:val="05050102010706020507"/>
    <w:charset w:val="02"/>
    <w:family w:val="roman"/>
    <w:pitch w:val="variable"/>
    <w:sig w:usb0="00000000" w:usb1="10000000" w:usb2="00000000" w:usb3="00000000" w:csb0="80000000" w:csb1="00000000"/>
  </w:font>
  <w:font w:name="Arial">
    <w:altName w:val="DejaVu Sans"/>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Calibri">
    <w:altName w:val="DejaVu Sans"/>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altName w:val="方正黑体_GBK"/>
    <w:panose1 w:val="020B0503020204020204"/>
    <w:charset w:val="86"/>
    <w:family w:val="auto"/>
    <w:pitch w:val="default"/>
    <w:sig w:usb0="80000287" w:usb1="2ACF3C50" w:usb2="00000016" w:usb3="00000000" w:csb0="0004001F" w:csb1="00000000"/>
  </w:font>
  <w:font w:name="Tahoma">
    <w:altName w:val="DejaVu Sans"/>
    <w:panose1 w:val="020B0604030504040204"/>
    <w:charset w:val="00"/>
    <w:family w:val="swiss"/>
    <w:pitch w:val="default"/>
    <w:sig w:usb0="E1002EFF" w:usb1="C000605B" w:usb2="00000029" w:usb3="00000000" w:csb0="200101FF" w:csb1="20280000"/>
  </w:font>
  <w:font w:name="Cambria">
    <w:altName w:val="C059"/>
    <w:panose1 w:val="02040503050406030204"/>
    <w:charset w:val="00"/>
    <w:family w:val="roman"/>
    <w:pitch w:val="variable"/>
    <w:sig w:usb0="E00002FF" w:usb1="400004FF" w:usb2="00000000" w:usb3="00000000" w:csb0="000001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500000000000000"/>
    <w:charset w:val="00"/>
    <w:family w:val="auto"/>
    <w:pitch w:val="default"/>
    <w:sig w:usb0="00000287" w:usb1="00000800" w:usb2="00000000" w:usb3="00000000" w:csb0="6000009F" w:csb1="00000000"/>
  </w:font>
  <w:font w:name="Verdana">
    <w:altName w:val="C059"/>
    <w:panose1 w:val="00000000000000000000"/>
    <w:charset w:val="00"/>
    <w:family w:val="swiss"/>
    <w:pitch w:val="default"/>
    <w:sig w:usb0="00000000" w:usb1="00000000" w:usb2="00000010" w:usb3="00000000" w:csb0="0000019F"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w:altName w:val="华文中宋"/>
    <w:panose1 w:val="02010600030101010101"/>
    <w:charset w:val="00"/>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58</w:t>
    </w:r>
    <w:r>
      <w:rPr>
        <w:rFonts w:ascii="黑体" w:eastAsia="黑体" w:hAnsi="黑体" w:cs="黑体"/>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项目编号：ZC-CZB25134</w:t>
      <w:tab/>
      <w:t>项目名称：中国印刷博物馆物业服务采购项目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EDA85"/>
    <w:multiLevelType w:val="singleLevel"/>
    <w:tmpl w:val="F7FEDA85"/>
    <w:lvl w:ilvl="0">
      <w:start w:val="8"/>
      <w:numFmt w:val="chineseCounting"/>
      <w:suff w:val="nothing"/>
      <w:lvlText w:val="%1、"/>
      <w:lvlJc w:val="left"/>
      <w:rPr>
        <w:rFonts w:hint="eastAsia"/>
      </w:rPr>
    </w:lvl>
  </w:abstractNum>
  <w:abstractNum w:abstractNumId="1">
    <w:nsid w:val="2036767F"/>
    <w:multiLevelType w:val="multilevel"/>
    <w:tmpl w:val="2036767F"/>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3">
    <w:nsid w:val="2FD7158E"/>
    <w:multiLevelType w:val="multilevel"/>
    <w:tmpl w:val="2FD7158E"/>
    <w:lvl w:ilvl="0">
      <w:start w:val="1"/>
      <w:numFmt w:val="decimal"/>
      <w:lvlText w:val="%1."/>
      <w:lvlJc w:val="left"/>
      <w:pPr>
        <w:tabs>
          <w:tab w:val="left" w:pos="705"/>
        </w:tabs>
        <w:ind w:left="705" w:hanging="600"/>
      </w:p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
    <w:nsid w:val="492002A9"/>
    <w:multiLevelType w:val="multilevel"/>
    <w:tmpl w:val="492002A9"/>
    <w:lvl w:ilvl="0">
      <w:start w:val="1"/>
      <w:numFmt w:val="decimal"/>
      <w:lvlText w:val="（%1）"/>
      <w:lvlJc w:val="left"/>
      <w:pPr>
        <w:tabs>
          <w:tab w:val="left" w:pos="1005"/>
        </w:tabs>
        <w:ind w:left="1005"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56EA0F6C"/>
    <w:multiLevelType w:val="multilevel"/>
    <w:tmpl w:val="56EA0F6C"/>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58DA7AC9"/>
    <w:multiLevelType w:val="multilevel"/>
    <w:tmpl w:val="58DA7AC9"/>
    <w:lvl w:ilvl="0">
      <w:start w:val="1"/>
      <w:numFmt w:val="decimal"/>
      <w:lvlText w:val="（%1）"/>
      <w:lvlJc w:val="left"/>
      <w:pPr>
        <w:tabs>
          <w:tab w:val="left" w:pos="1560"/>
        </w:tabs>
        <w:ind w:left="156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8">
    <w:nsid w:val="644F6DD7"/>
    <w:multiLevelType w:val="multilevel"/>
    <w:tmpl w:val="644F6DD7"/>
    <w:lvl w:ilvl="0">
      <w:start w:val="1"/>
      <w:numFmt w:val="decimal"/>
      <w:lvlText w:val="%1."/>
      <w:lvlJc w:val="left"/>
      <w:pPr>
        <w:tabs>
          <w:tab w:val="left" w:pos="600"/>
        </w:tabs>
        <w:ind w:left="600" w:hanging="600"/>
      </w:pPr>
    </w:lvl>
    <w:lvl w:ilvl="1">
      <w:start w:val="1"/>
      <w:numFmt w:val="decimal"/>
      <w:lvlText w:val="%1.%2"/>
      <w:lvlJc w:val="left"/>
      <w:pPr>
        <w:tabs>
          <w:tab w:val="left" w:pos="495"/>
        </w:tabs>
        <w:ind w:left="495" w:hanging="600"/>
      </w:pPr>
      <w:rPr>
        <w:rFonts w:ascii="宋体" w:eastAsia="宋体" w:hAnsi="宋体" w:hint="eastAsia"/>
        <w:b w:val="0"/>
        <w:color w:val="auto"/>
        <w:sz w:val="24"/>
        <w:szCs w:val="24"/>
      </w:rPr>
    </w:lvl>
    <w:lvl w:ilvl="2">
      <w:start w:val="1"/>
      <w:numFmt w:val="decimal"/>
      <w:isLgl/>
      <w:lvlText w:val="%1.%2.%3"/>
      <w:lvlJc w:val="left"/>
      <w:pPr>
        <w:tabs>
          <w:tab w:val="left" w:pos="615"/>
        </w:tabs>
        <w:ind w:left="615" w:hanging="720"/>
      </w:pPr>
      <w:rPr>
        <w:b w:val="0"/>
      </w:rPr>
    </w:lvl>
    <w:lvl w:ilvl="3">
      <w:start w:val="1"/>
      <w:numFmt w:val="decimal"/>
      <w:lvlText w:val="%1.%2.%3.%4"/>
      <w:lvlJc w:val="left"/>
      <w:pPr>
        <w:tabs>
          <w:tab w:val="left" w:pos="975"/>
        </w:tabs>
        <w:ind w:left="975" w:hanging="1080"/>
      </w:pPr>
    </w:lvl>
    <w:lvl w:ilvl="4">
      <w:start w:val="1"/>
      <w:numFmt w:val="decimal"/>
      <w:lvlText w:val="%1.%2.%3.%4.%5"/>
      <w:lvlJc w:val="left"/>
      <w:pPr>
        <w:tabs>
          <w:tab w:val="left" w:pos="975"/>
        </w:tabs>
        <w:ind w:left="975" w:hanging="1080"/>
      </w:pPr>
    </w:lvl>
    <w:lvl w:ilvl="5">
      <w:start w:val="1"/>
      <w:numFmt w:val="decimal"/>
      <w:lvlText w:val="%1.%2.%3.%4.%5.%6"/>
      <w:lvlJc w:val="left"/>
      <w:pPr>
        <w:tabs>
          <w:tab w:val="left" w:pos="1335"/>
        </w:tabs>
        <w:ind w:left="1335" w:hanging="1440"/>
      </w:pPr>
    </w:lvl>
    <w:lvl w:ilvl="6">
      <w:start w:val="1"/>
      <w:numFmt w:val="decimal"/>
      <w:lvlText w:val="%1.%2.%3.%4.%5.%6.%7"/>
      <w:lvlJc w:val="left"/>
      <w:pPr>
        <w:tabs>
          <w:tab w:val="left" w:pos="1695"/>
        </w:tabs>
        <w:ind w:left="1695" w:hanging="1800"/>
      </w:pPr>
    </w:lvl>
    <w:lvl w:ilvl="7">
      <w:start w:val="1"/>
      <w:numFmt w:val="decimal"/>
      <w:lvlText w:val="%1.%2.%3.%4.%5.%6.%7.%8"/>
      <w:lvlJc w:val="left"/>
      <w:pPr>
        <w:tabs>
          <w:tab w:val="left" w:pos="1695"/>
        </w:tabs>
        <w:ind w:left="1695" w:hanging="1800"/>
      </w:pPr>
    </w:lvl>
    <w:lvl w:ilvl="8">
      <w:start w:val="1"/>
      <w:numFmt w:val="decimal"/>
      <w:lvlText w:val="%1.%2.%3.%4.%5.%6.%7.%8.%9"/>
      <w:lvlJc w:val="left"/>
      <w:pPr>
        <w:tabs>
          <w:tab w:val="left" w:pos="2055"/>
        </w:tabs>
        <w:ind w:left="2055" w:hanging="2160"/>
      </w:pPr>
    </w:lvl>
  </w:abstractNum>
  <w:abstractNum w:abstractNumId="9">
    <w:nsid w:val="6B6E1B3D"/>
    <w:multiLevelType w:val="multilevel"/>
    <w:tmpl w:val="6B6E1B3D"/>
    <w:lvl w:ilvl="0">
      <w:start w:val="1"/>
      <w:numFmt w:val="japaneseCounting"/>
      <w:lvlText w:val="%1、"/>
      <w:lvlJc w:val="left"/>
      <w:pPr>
        <w:tabs>
          <w:tab w:val="left" w:pos="1980"/>
        </w:tabs>
        <w:ind w:left="198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96238"/>
    <w:rsid w:val="000D1FBA"/>
    <w:rsid w:val="00317713"/>
    <w:rsid w:val="007D38BE"/>
    <w:rsid w:val="008250A4"/>
    <w:rsid w:val="00991BAC"/>
    <w:rsid w:val="00A77B3E"/>
    <w:rsid w:val="00B16203"/>
    <w:rsid w:val="00C673AB"/>
    <w:rsid w:val="00CA2A55"/>
    <w:rsid w:val="00D446A1"/>
    <w:rsid w:val="00E004BD"/>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qFormat/>
    <w:pPr>
      <w:widowControl w:val="0"/>
      <w:spacing w:beforeAutospacing="1" w:afterAutospacing="1" w:line="259" w:lineRule="auto"/>
    </w:pPr>
    <w:rPr>
      <w:rFonts w:ascii="Calibri" w:eastAsia="宋体" w:hAnsi="Calibri"/>
      <w:szCs w:val="22"/>
      <w:lang w:val="en-US" w:eastAsia="zh-CN" w:bidi="ar"/>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60</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lastPrinted>2025-11-24T06:30:42Z</cp:lastPrinted>
</cp:coreProperties>
</file>