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52" w:lineRule="auto"/>
        <w:jc w:val="center"/>
        <w:rPr>
          <w:rFonts w:hint="eastAsia" w:ascii="宋体" w:hAnsi="宋体" w:cs="宋体"/>
          <w:b/>
          <w:sz w:val="72"/>
          <w:szCs w:val="72"/>
          <w:lang w:val="en-US" w:eastAsia="zh-CN"/>
        </w:rPr>
      </w:pPr>
    </w:p>
    <w:p>
      <w:pPr>
        <w:snapToGrid w:val="0"/>
        <w:spacing w:line="252" w:lineRule="auto"/>
        <w:jc w:val="center"/>
        <w:rPr>
          <w:rFonts w:hint="eastAsia" w:ascii="宋体" w:hAnsi="宋体" w:cs="宋体"/>
          <w:b/>
          <w:sz w:val="72"/>
          <w:szCs w:val="72"/>
          <w:lang w:val="en-US" w:eastAsia="zh-CN"/>
        </w:rPr>
      </w:pPr>
    </w:p>
    <w:p>
      <w:pPr>
        <w:snapToGrid w:val="0"/>
        <w:spacing w:line="252" w:lineRule="auto"/>
        <w:jc w:val="center"/>
        <w:rPr>
          <w:rFonts w:hint="default" w:ascii="宋体" w:hAnsi="宋体" w:eastAsia="宋体" w:cs="宋体"/>
          <w:b/>
          <w:sz w:val="28"/>
          <w:szCs w:val="28"/>
          <w:lang w:val="en-US"/>
        </w:rPr>
      </w:pPr>
      <w:r>
        <w:rPr>
          <w:rFonts w:hint="eastAsia" w:ascii="宋体" w:hAnsi="宋体" w:cs="宋体"/>
          <w:b/>
          <w:sz w:val="72"/>
          <w:szCs w:val="72"/>
          <w:lang w:val="en-US" w:eastAsia="zh-CN"/>
        </w:rPr>
        <w:t>技术规格及要求</w:t>
      </w: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left"/>
        <w:rPr>
          <w:rFonts w:hint="eastAsia" w:ascii="宋体" w:hAnsi="宋体" w:eastAsia="宋体" w:cs="宋体"/>
          <w:b/>
          <w:sz w:val="28"/>
          <w:szCs w:val="28"/>
        </w:rPr>
      </w:pPr>
    </w:p>
    <w:p>
      <w:pPr>
        <w:snapToGrid w:val="0"/>
        <w:spacing w:line="252" w:lineRule="auto"/>
        <w:jc w:val="center"/>
        <w:rPr>
          <w:rFonts w:hint="eastAsia" w:ascii="宋体" w:hAnsi="宋体" w:eastAsia="宋体" w:cs="宋体"/>
          <w:sz w:val="28"/>
        </w:rPr>
      </w:pPr>
      <w:r>
        <w:rPr>
          <w:rFonts w:hint="eastAsia" w:ascii="宋体" w:hAnsi="宋体" w:eastAsia="宋体" w:cs="宋体"/>
          <w:sz w:val="28"/>
        </w:rPr>
        <w:t>中国国家版本馆（国家版本数据中心）</w:t>
      </w:r>
    </w:p>
    <w:p>
      <w:pPr>
        <w:snapToGrid w:val="0"/>
        <w:spacing w:line="252" w:lineRule="auto"/>
        <w:jc w:val="center"/>
        <w:rPr>
          <w:rFonts w:hint="eastAsia" w:ascii="宋体" w:hAnsi="宋体" w:eastAsia="宋体" w:cs="宋体"/>
          <w:sz w:val="28"/>
        </w:rPr>
      </w:pPr>
      <w:r>
        <w:rPr>
          <w:rFonts w:hint="eastAsia" w:ascii="宋体" w:hAnsi="宋体" w:eastAsia="宋体" w:cs="宋体"/>
          <w:sz w:val="28"/>
        </w:rPr>
        <w:t>2025年0</w:t>
      </w:r>
      <w:r>
        <w:rPr>
          <w:rFonts w:hint="eastAsia" w:ascii="宋体" w:hAnsi="宋体" w:cs="宋体"/>
          <w:sz w:val="28"/>
          <w:lang w:val="en-US" w:eastAsia="zh-CN"/>
        </w:rPr>
        <w:t>3</w:t>
      </w:r>
      <w:r>
        <w:rPr>
          <w:rFonts w:hint="eastAsia" w:ascii="宋体" w:hAnsi="宋体" w:eastAsia="宋体" w:cs="宋体"/>
          <w:sz w:val="28"/>
        </w:rPr>
        <w:t>月</w:t>
      </w:r>
    </w:p>
    <w:p>
      <w:pPr>
        <w:pageBreakBefore/>
      </w:pPr>
    </w:p>
    <w:p>
      <w:pPr>
        <w:pStyle w:val="10"/>
        <w:keepNext w:val="0"/>
        <w:keepLines w:val="0"/>
        <w:pageBreakBefore w:val="0"/>
        <w:widowControl w:val="0"/>
        <w:kinsoku/>
        <w:wordWrap/>
        <w:overflowPunct/>
        <w:topLinePunct w:val="0"/>
        <w:autoSpaceDE/>
        <w:autoSpaceDN/>
        <w:bidi w:val="0"/>
        <w:adjustRightInd/>
        <w:snapToGrid/>
        <w:spacing w:before="260" w:after="260" w:line="360" w:lineRule="auto"/>
        <w:ind w:firstLine="642" w:firstLineChars="20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32"/>
          <w:szCs w:val="32"/>
        </w:rPr>
        <w:t>一、商务要求</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本部分内容是根据本项目实际情况制定的。</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供应商必须仔细阅读本部分的全部条款。对本部分中存在的任何疑问、遗漏或相互矛盾之处，或是对于相关要求不清楚，认为存在歧视、限制的情况，供应商可以</w:t>
      </w:r>
      <w:r>
        <w:rPr>
          <w:rFonts w:hint="default" w:ascii="Times New Roman" w:hAnsi="Times New Roman" w:eastAsia="宋体" w:cs="Times New Roman"/>
          <w:sz w:val="24"/>
          <w:szCs w:val="24"/>
          <w:lang w:eastAsia="zh-CN"/>
        </w:rPr>
        <w:t>向采购人或采购中心寻求书面澄清</w:t>
      </w:r>
      <w:r>
        <w:rPr>
          <w:rFonts w:hint="default" w:ascii="Times New Roman" w:hAnsi="Times New Roman" w:eastAsia="宋体" w:cs="Times New Roman"/>
          <w:sz w:val="24"/>
          <w:szCs w:val="24"/>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本部分所列明的工艺、材料和设备的标准仅起说明作用，并没有任何限制性，供应商可以选用替代标准，但这些替代应当等于或优于文件技术要求。</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 报价要求：</w:t>
      </w:r>
      <w:bookmarkStart w:id="0" w:name="PO_XQWJ_SWYQ_xyai_xqwj_swyq_BJYQ_0"/>
      <w:r>
        <w:rPr>
          <w:rFonts w:hint="default" w:ascii="Times New Roman" w:hAnsi="Times New Roman" w:eastAsia="宋体" w:cs="Times New Roman"/>
          <w:sz w:val="24"/>
          <w:szCs w:val="24"/>
          <w:lang w:val="en-US" w:eastAsia="zh-CN"/>
        </w:rPr>
        <w:t>报价中应包括但不限于：为完成本项目所发生的一切费用,人工费、绿化养护、保洁费、病虫害防治费、施肥、浇水灌溉、电费、水费、材料费、施工机械使用费、措施费、工具折旧费、各项税费及其他相关费用。</w:t>
      </w:r>
      <w:bookmarkEnd w:id="0"/>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履约保证金</w:t>
      </w:r>
      <w:r>
        <w:rPr>
          <w:rFonts w:hint="default" w:ascii="Times New Roman" w:hAnsi="Times New Roman" w:eastAsia="宋体" w:cs="Times New Roman"/>
          <w:sz w:val="24"/>
          <w:szCs w:val="24"/>
          <w:lang w:eastAsia="zh-CN"/>
        </w:rPr>
        <w:t>：</w:t>
      </w:r>
      <w:bookmarkStart w:id="1" w:name="PO_XQWJ_SWYQ_xyai_xqwj_swyq_LYBZJYQ_0"/>
      <w:r>
        <w:rPr>
          <w:rFonts w:hint="default" w:ascii="Times New Roman" w:hAnsi="Times New Roman" w:eastAsia="宋体" w:cs="Times New Roman"/>
          <w:sz w:val="24"/>
          <w:szCs w:val="24"/>
          <w:lang w:val="en-US" w:eastAsia="zh-CN"/>
        </w:rPr>
        <w:t>供应商应在与采购人签订合同后15日内，向采购人提供不超过合同总价</w:t>
      </w:r>
      <w:r>
        <w:rPr>
          <w:rFonts w:hint="eastAsia"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lang w:val="en-US" w:eastAsia="zh-CN"/>
        </w:rPr>
        <w:t>%的履约保证金，履约保证金以支票、汇票、本票或金融机构、担保机构出具的保函等方式提交。如果供应商能按约全面履行合同义务，采购人将在合同履行完成后30日内退还供应商履约保证金（不计利息）。</w:t>
      </w:r>
      <w:bookmarkEnd w:id="1"/>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 付款方式</w:t>
      </w:r>
      <w:r>
        <w:rPr>
          <w:rFonts w:hint="default" w:ascii="Times New Roman" w:hAnsi="Times New Roman" w:eastAsia="宋体" w:cs="Times New Roman"/>
          <w:sz w:val="24"/>
          <w:szCs w:val="24"/>
          <w:lang w:eastAsia="zh-CN"/>
        </w:rPr>
        <w:t>：</w:t>
      </w:r>
      <w:bookmarkStart w:id="2" w:name="PO_XQWJ_SWYQ_xyai_xqwj_swyq_FKFS_0"/>
      <w:r>
        <w:rPr>
          <w:rFonts w:hint="default" w:ascii="Times New Roman" w:hAnsi="Times New Roman" w:eastAsia="宋体" w:cs="Times New Roman"/>
          <w:sz w:val="24"/>
          <w:szCs w:val="24"/>
          <w:lang w:val="en-US" w:eastAsia="zh-CN"/>
        </w:rPr>
        <w:t>1.采用月考核，按期结算方式支付绿化服务费用，采购人以汇款/电汇的方式进行付款。每一期期满后10日内供应商向采购人提供经双方确认的服务费结算依据（包括相应服务期内的园林绿化养护月度考核表等）和符合采购人要求的增值税发票，审核无误后支付。</w:t>
      </w:r>
      <w:r>
        <w:rPr>
          <w:rFonts w:hint="default" w:ascii="Times New Roman" w:hAnsi="Times New Roman" w:eastAsia="宋体" w:cs="Times New Roman"/>
          <w:sz w:val="24"/>
          <w:szCs w:val="24"/>
          <w:lang w:val="en-US" w:eastAsia="zh-CN"/>
        </w:rPr>
        <w:cr/>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2.合同生效、供应商支付本合同约定的履约保证金且供应商提供符合采购人要求的首付款增值税发票后，10个工作日内采购人向供应商支付总金额30%的首付款。</w:t>
      </w:r>
      <w:r>
        <w:rPr>
          <w:rFonts w:hint="default" w:ascii="Times New Roman" w:hAnsi="Times New Roman" w:eastAsia="宋体" w:cs="Times New Roman"/>
          <w:sz w:val="24"/>
          <w:szCs w:val="24"/>
          <w:lang w:val="en-US" w:eastAsia="zh-CN"/>
        </w:rPr>
        <w:cr/>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3.第二期款项根据</w:t>
      </w:r>
      <w:r>
        <w:rPr>
          <w:rFonts w:hint="eastAsia" w:ascii="Times New Roman" w:hAnsi="Times New Roman" w:eastAsia="宋体" w:cs="Times New Roman"/>
          <w:sz w:val="24"/>
          <w:szCs w:val="24"/>
          <w:lang w:val="en-US" w:eastAsia="zh-CN"/>
        </w:rPr>
        <w:t>该期内</w:t>
      </w:r>
      <w:r>
        <w:rPr>
          <w:rFonts w:hint="default" w:ascii="Times New Roman" w:hAnsi="Times New Roman" w:eastAsia="宋体" w:cs="Times New Roman"/>
          <w:sz w:val="24"/>
          <w:szCs w:val="24"/>
          <w:lang w:val="en-US" w:eastAsia="zh-CN"/>
        </w:rPr>
        <w:t>月度考核情况于</w:t>
      </w:r>
      <w:r>
        <w:rPr>
          <w:rFonts w:hint="eastAsia" w:ascii="Times New Roman" w:hAnsi="Times New Roman" w:eastAsia="宋体" w:cs="Times New Roman"/>
          <w:sz w:val="24"/>
          <w:szCs w:val="24"/>
          <w:lang w:val="en-US" w:eastAsia="zh-CN"/>
        </w:rPr>
        <w:t>合同签订满5个月后15日内</w:t>
      </w:r>
      <w:r>
        <w:rPr>
          <w:rFonts w:hint="default" w:ascii="Times New Roman" w:hAnsi="Times New Roman" w:eastAsia="宋体" w:cs="Times New Roman"/>
          <w:sz w:val="24"/>
          <w:szCs w:val="24"/>
          <w:lang w:val="en-US" w:eastAsia="zh-CN"/>
        </w:rPr>
        <w:t>结算，供应商经采购人考核合格</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并向采购人开具等额增值税发票，采购人在收到发票之日起10个工作日内，采购人向供应商支付合同总金额的50%。</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4.第三期款项根据</w:t>
      </w:r>
      <w:r>
        <w:rPr>
          <w:rFonts w:hint="eastAsia" w:ascii="Times New Roman" w:hAnsi="Times New Roman" w:eastAsia="宋体" w:cs="Times New Roman"/>
          <w:sz w:val="24"/>
          <w:szCs w:val="24"/>
          <w:lang w:val="en-US" w:eastAsia="zh-CN"/>
        </w:rPr>
        <w:t>该期内</w:t>
      </w:r>
      <w:r>
        <w:rPr>
          <w:rFonts w:hint="default" w:ascii="Times New Roman" w:hAnsi="Times New Roman" w:eastAsia="宋体" w:cs="Times New Roman"/>
          <w:sz w:val="24"/>
          <w:szCs w:val="24"/>
          <w:lang w:val="en-US" w:eastAsia="zh-CN"/>
        </w:rPr>
        <w:t>月度考核情况于</w:t>
      </w:r>
      <w:r>
        <w:rPr>
          <w:rFonts w:hint="eastAsia" w:ascii="Times New Roman" w:hAnsi="Times New Roman" w:eastAsia="宋体" w:cs="Times New Roman"/>
          <w:sz w:val="24"/>
          <w:szCs w:val="24"/>
          <w:lang w:val="en-US" w:eastAsia="zh-CN"/>
        </w:rPr>
        <w:t>合同签订满7个月后15日内</w:t>
      </w:r>
      <w:r>
        <w:rPr>
          <w:rFonts w:hint="default" w:ascii="Times New Roman" w:hAnsi="Times New Roman" w:eastAsia="宋体" w:cs="Times New Roman"/>
          <w:sz w:val="24"/>
          <w:szCs w:val="24"/>
          <w:lang w:val="en-US" w:eastAsia="zh-CN"/>
        </w:rPr>
        <w:t>结算，供应商经采购人考核合格</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并向采购人开具等额合法发票，采购人在收到发票之日起10个工作日内，采购人向供应商支付合同总金额的10%。</w:t>
      </w:r>
      <w:r>
        <w:rPr>
          <w:rFonts w:hint="default" w:ascii="Times New Roman" w:hAnsi="Times New Roman" w:eastAsia="宋体" w:cs="Times New Roman"/>
          <w:sz w:val="24"/>
          <w:szCs w:val="24"/>
          <w:lang w:val="en-US" w:eastAsia="zh-CN"/>
        </w:rPr>
        <w:cr/>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eastAsia="zh-CN"/>
        </w:rPr>
        <w:t>5.尾款根据</w:t>
      </w:r>
      <w:r>
        <w:rPr>
          <w:rFonts w:hint="eastAsia" w:ascii="Times New Roman" w:hAnsi="Times New Roman" w:eastAsia="宋体" w:cs="Times New Roman"/>
          <w:sz w:val="24"/>
          <w:szCs w:val="24"/>
          <w:lang w:val="en-US" w:eastAsia="zh-CN"/>
        </w:rPr>
        <w:t>最后期内考核</w:t>
      </w:r>
      <w:r>
        <w:rPr>
          <w:rFonts w:hint="default" w:ascii="Times New Roman" w:hAnsi="Times New Roman" w:eastAsia="宋体" w:cs="Times New Roman"/>
          <w:sz w:val="24"/>
          <w:szCs w:val="24"/>
          <w:lang w:val="en-US" w:eastAsia="zh-CN"/>
        </w:rPr>
        <w:t>情况于</w:t>
      </w:r>
      <w:r>
        <w:rPr>
          <w:rFonts w:hint="eastAsia" w:ascii="Times New Roman" w:hAnsi="Times New Roman" w:eastAsia="宋体" w:cs="Times New Roman"/>
          <w:sz w:val="24"/>
          <w:szCs w:val="24"/>
          <w:lang w:val="en-US" w:eastAsia="zh-CN"/>
        </w:rPr>
        <w:t>合同期满15日内</w:t>
      </w:r>
      <w:r>
        <w:rPr>
          <w:rFonts w:hint="default" w:ascii="Times New Roman" w:hAnsi="Times New Roman" w:eastAsia="宋体" w:cs="Times New Roman"/>
          <w:sz w:val="24"/>
          <w:szCs w:val="24"/>
          <w:lang w:val="en-US" w:eastAsia="zh-CN"/>
        </w:rPr>
        <w:t>结算，供应商经采购人考核合格</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并向采购人开具等额增值税发票，采购人在收到发票之日起10个工作日内，采购人向供应商支付合同总金额的10%。</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i/>
          <w:sz w:val="24"/>
          <w:szCs w:val="24"/>
          <w:u w:val="single"/>
          <w:lang w:val="en-US"/>
        </w:rPr>
      </w:pPr>
      <w:r>
        <w:rPr>
          <w:rFonts w:hint="eastAsia" w:ascii="Times New Roman" w:hAnsi="Times New Roman" w:eastAsia="宋体" w:cs="Times New Roman"/>
          <w:sz w:val="24"/>
          <w:szCs w:val="24"/>
          <w:lang w:val="en-US" w:eastAsia="zh-CN"/>
        </w:rPr>
        <w:t>注：</w:t>
      </w:r>
      <w:r>
        <w:rPr>
          <w:rFonts w:hint="default" w:ascii="Times New Roman" w:hAnsi="Times New Roman" w:eastAsia="宋体" w:cs="Times New Roman"/>
          <w:sz w:val="24"/>
          <w:szCs w:val="24"/>
          <w:lang w:val="en-US" w:eastAsia="zh-CN"/>
        </w:rPr>
        <w:t>每月考核得分均为90分（含）以上</w:t>
      </w:r>
      <w:r>
        <w:rPr>
          <w:rFonts w:hint="eastAsia" w:ascii="Times New Roman" w:hAnsi="Times New Roman" w:eastAsia="宋体" w:cs="Times New Roman"/>
          <w:sz w:val="24"/>
          <w:szCs w:val="24"/>
          <w:lang w:val="en-US" w:eastAsia="zh-CN"/>
        </w:rPr>
        <w:t>，考核合格，</w:t>
      </w:r>
      <w:r>
        <w:rPr>
          <w:rFonts w:hint="default" w:ascii="Times New Roman" w:hAnsi="Times New Roman" w:eastAsia="宋体" w:cs="Times New Roman"/>
          <w:sz w:val="24"/>
          <w:szCs w:val="24"/>
          <w:lang w:val="en-US" w:eastAsia="zh-CN"/>
        </w:rPr>
        <w:t>得分若未达到90分以上，</w:t>
      </w:r>
      <w:r>
        <w:rPr>
          <w:rFonts w:hint="eastAsia" w:ascii="Times New Roman" w:hAnsi="Times New Roman" w:eastAsia="宋体" w:cs="Times New Roman"/>
          <w:sz w:val="24"/>
          <w:szCs w:val="24"/>
          <w:lang w:val="en-US" w:eastAsia="zh-CN"/>
        </w:rPr>
        <w:t>每期付款时</w:t>
      </w:r>
      <w:r>
        <w:rPr>
          <w:rFonts w:hint="default" w:ascii="Times New Roman" w:hAnsi="Times New Roman" w:eastAsia="宋体" w:cs="Times New Roman"/>
          <w:sz w:val="24"/>
          <w:szCs w:val="24"/>
          <w:lang w:val="en-US" w:eastAsia="zh-CN"/>
        </w:rPr>
        <w:t>根据监督考核要求约定进行</w:t>
      </w:r>
      <w:bookmarkStart w:id="32" w:name="_GoBack"/>
      <w:bookmarkEnd w:id="32"/>
      <w:r>
        <w:rPr>
          <w:rFonts w:hint="default" w:ascii="Times New Roman" w:hAnsi="Times New Roman" w:eastAsia="宋体" w:cs="Times New Roman"/>
          <w:sz w:val="24"/>
          <w:szCs w:val="24"/>
          <w:lang w:val="en-US" w:eastAsia="zh-CN"/>
        </w:rPr>
        <w:t>相应扣减。</w:t>
      </w:r>
      <w:bookmarkEnd w:id="2"/>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 关于服务合同延续。根据《财政部关于推进</w:t>
      </w:r>
      <w:r>
        <w:rPr>
          <w:rFonts w:hint="eastAsia" w:ascii="Times New Roman" w:hAnsi="Times New Roman" w:eastAsia="宋体" w:cs="Times New Roman"/>
          <w:sz w:val="24"/>
          <w:szCs w:val="24"/>
          <w:lang w:eastAsia="zh-CN"/>
        </w:rPr>
        <w:t>和</w:t>
      </w:r>
      <w:r>
        <w:rPr>
          <w:rFonts w:hint="default" w:ascii="Times New Roman" w:hAnsi="Times New Roman" w:eastAsia="宋体" w:cs="Times New Roman"/>
          <w:sz w:val="24"/>
          <w:szCs w:val="24"/>
        </w:rPr>
        <w:t>完善服务项目政府采购</w:t>
      </w:r>
      <w:r>
        <w:rPr>
          <w:rFonts w:hint="eastAsia" w:ascii="Times New Roman" w:hAnsi="Times New Roman" w:eastAsia="宋体" w:cs="Times New Roman"/>
          <w:sz w:val="24"/>
          <w:szCs w:val="24"/>
          <w:lang w:eastAsia="zh-CN"/>
        </w:rPr>
        <w:t>有关</w:t>
      </w:r>
      <w:r>
        <w:rPr>
          <w:rFonts w:hint="default" w:ascii="Times New Roman" w:hAnsi="Times New Roman" w:eastAsia="宋体" w:cs="Times New Roman"/>
          <w:sz w:val="24"/>
          <w:szCs w:val="24"/>
        </w:rPr>
        <w:t>问题的通知》（财库﹝2014﹞37号）规定——“采购需求具有相对固定性、延续性且价格变化幅度小的服务项目，在年度预算能保障的前提下，采购人可以签订不超过三年履行期限的政府采购合同”，采购人可根据实际情况将合同执行时间延续至不超过三年的期限，每次合同延续时签订期限不超过一年。</w:t>
      </w:r>
    </w:p>
    <w:p>
      <w:pPr>
        <w:pageBreakBefore/>
      </w:pPr>
    </w:p>
    <w:p>
      <w:pPr>
        <w:pStyle w:val="13"/>
        <w:keepNext w:val="0"/>
        <w:keepLines w:val="0"/>
        <w:pageBreakBefore w:val="0"/>
        <w:widowControl w:val="0"/>
        <w:kinsoku/>
        <w:wordWrap/>
        <w:overflowPunct/>
        <w:topLinePunct w:val="0"/>
        <w:autoSpaceDE/>
        <w:autoSpaceDN/>
        <w:bidi w:val="0"/>
        <w:adjustRightInd/>
        <w:snapToGrid/>
        <w:spacing w:before="260" w:after="260" w:line="360" w:lineRule="auto"/>
        <w:ind w:firstLine="642" w:firstLineChars="200"/>
        <w:jc w:val="center"/>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b/>
          <w:bCs/>
          <w:kern w:val="0"/>
          <w:sz w:val="32"/>
          <w:szCs w:val="32"/>
          <w:lang w:eastAsia="zh-CN"/>
        </w:rPr>
        <w:t>二</w:t>
      </w:r>
      <w:r>
        <w:rPr>
          <w:rFonts w:hint="default" w:ascii="Times New Roman" w:hAnsi="Times New Roman" w:eastAsia="宋体" w:cs="Times New Roman"/>
          <w:b/>
          <w:bCs/>
          <w:kern w:val="0"/>
          <w:sz w:val="32"/>
          <w:szCs w:val="32"/>
        </w:rPr>
        <w:t>、</w:t>
      </w:r>
      <w:r>
        <w:rPr>
          <w:rFonts w:hint="default" w:ascii="Times New Roman" w:hAnsi="Times New Roman" w:eastAsia="宋体" w:cs="Times New Roman"/>
          <w:b/>
          <w:bCs/>
          <w:kern w:val="0"/>
          <w:sz w:val="32"/>
          <w:szCs w:val="32"/>
          <w:lang w:eastAsia="zh-CN"/>
        </w:rPr>
        <w:t>技术</w:t>
      </w:r>
      <w:r>
        <w:rPr>
          <w:rFonts w:hint="default" w:ascii="Times New Roman" w:hAnsi="Times New Roman" w:eastAsia="宋体" w:cs="Times New Roman"/>
          <w:b/>
          <w:bCs/>
          <w:kern w:val="0"/>
          <w:sz w:val="32"/>
          <w:szCs w:val="32"/>
        </w:rPr>
        <w:t>要求</w:t>
      </w:r>
    </w:p>
    <w:p>
      <w:pPr>
        <w:pStyle w:val="13"/>
        <w:keepNext w:val="0"/>
        <w:keepLines w:val="0"/>
        <w:pageBreakBefore w:val="0"/>
        <w:widowControl w:val="0"/>
        <w:suppressLineNumbers w:val="0"/>
        <w:kinsoku/>
        <w:wordWrap/>
        <w:overflowPunct/>
        <w:topLinePunct w:val="0"/>
        <w:autoSpaceDE/>
        <w:autoSpaceDN/>
        <w:bidi w:val="0"/>
        <w:adjustRightInd/>
        <w:snapToGrid/>
        <w:spacing w:before="260" w:beforeAutospacing="0" w:after="260" w:afterAutospacing="0" w:line="360" w:lineRule="auto"/>
        <w:ind w:left="0" w:right="0" w:firstLine="481" w:firstLineChars="200"/>
        <w:jc w:val="both"/>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基本情况</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采购人单位情况：</w:t>
      </w:r>
      <w:bookmarkStart w:id="3" w:name="WYJBQK_xyai_xqwj_wyxm_CGRDWQK_0"/>
      <w:r>
        <w:rPr>
          <w:rFonts w:hint="default" w:ascii="Times New Roman" w:hAnsi="Times New Roman" w:eastAsia="宋体" w:cs="Times New Roman"/>
          <w:kern w:val="0"/>
          <w:sz w:val="24"/>
          <w:szCs w:val="24"/>
          <w:lang w:val="en-US" w:eastAsia="zh-CN" w:bidi="ar"/>
        </w:rPr>
        <w:t>中国国家版本馆昌平办公区</w:t>
      </w:r>
      <w:r>
        <w:rPr>
          <w:rFonts w:hint="default" w:ascii="Times New Roman" w:hAnsi="Times New Roman" w:eastAsia="宋体" w:cs="Times New Roman"/>
          <w:kern w:val="0"/>
          <w:sz w:val="24"/>
          <w:szCs w:val="24"/>
          <w:lang w:val="en-US" w:eastAsia="zh-CN" w:bidi="ar"/>
        </w:rPr>
        <w:cr/>
      </w:r>
      <w:r>
        <w:rPr>
          <w:rFonts w:hint="default" w:ascii="Times New Roman" w:hAnsi="Times New Roman" w:eastAsia="宋体" w:cs="Times New Roman"/>
          <w:kern w:val="0"/>
          <w:sz w:val="24"/>
          <w:szCs w:val="24"/>
          <w:lang w:val="en-US" w:eastAsia="zh-CN" w:bidi="ar"/>
        </w:rPr>
        <w:t>地理位置：北京市昌平区兴寿镇文瀚路1号（兴寿镇半壁店村北）。</w:t>
      </w:r>
      <w:bookmarkEnd w:id="3"/>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占地面积：</w:t>
      </w:r>
      <w:bookmarkStart w:id="4" w:name="WYJBQK_xyai_xqwj_wyxm_ZDMJ_0"/>
      <w:r>
        <w:rPr>
          <w:rFonts w:hint="default" w:ascii="Times New Roman" w:hAnsi="Times New Roman" w:eastAsia="宋体" w:cs="Times New Roman"/>
          <w:kern w:val="0"/>
          <w:sz w:val="24"/>
          <w:szCs w:val="24"/>
          <w:lang w:val="en-US" w:eastAsia="zh-CN" w:bidi="ar"/>
        </w:rPr>
        <w:t>总体面积：园区红线边界内16.84万平方米。园区红线边界外山体自然林地面积30.48万平方米。</w:t>
      </w:r>
      <w:bookmarkEnd w:id="4"/>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建筑物及构筑物情况：</w:t>
      </w:r>
      <w:bookmarkStart w:id="5" w:name="WYJBQK_xyai_xqwj_wyxm_JZWQK_0"/>
      <w:r>
        <w:rPr>
          <w:rFonts w:hint="default" w:ascii="Times New Roman" w:hAnsi="Times New Roman" w:eastAsia="宋体" w:cs="Times New Roman"/>
          <w:kern w:val="0"/>
          <w:sz w:val="24"/>
          <w:szCs w:val="24"/>
          <w:lang w:val="en-US" w:eastAsia="zh-CN" w:bidi="ar"/>
        </w:rPr>
        <w:t>与本项目无直接关系。</w:t>
      </w:r>
      <w:bookmarkEnd w:id="5"/>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园林绿化情况：</w:t>
      </w:r>
      <w:bookmarkStart w:id="6" w:name="WYJBQK_xyai_xqwj_wyxm_YLLHQK_0"/>
      <w:r>
        <w:rPr>
          <w:rFonts w:hint="default" w:ascii="Times New Roman" w:hAnsi="Times New Roman" w:eastAsia="宋体" w:cs="Times New Roman"/>
          <w:kern w:val="0"/>
          <w:sz w:val="24"/>
          <w:szCs w:val="24"/>
          <w:lang w:val="en-US" w:eastAsia="zh-CN" w:bidi="ar"/>
        </w:rPr>
        <w:t>国家版本馆昌平办公区景观分区主要分为中心馆藏区（大承区、大览区、大藏区）、四大景观景点（汇流澄鉴、万松筛月、海山贮蕴、西台云章）及主入口区和停车场区。本项目绿化养护面积约6.7571万平方米，其中景观水系面积约0.3291万平方米。常绿、落叶乔木类共3000余株，小乔及灌木类2000余株，竹类3000余平方米，地被花卉43000余平方米，水生花卉400余平方米，草坪18000余平方米；喷灌管网系统PE管15000米，快速取水阀140余个，各类喷头1100余个；12台景观循环泵。</w:t>
      </w:r>
      <w:bookmarkEnd w:id="6"/>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车（含非机动车）库及车位情况：</w:t>
      </w:r>
      <w:bookmarkStart w:id="7" w:name="WYJBQK_xyai_xqwj_wyxm_CKQK_0"/>
      <w:r>
        <w:rPr>
          <w:rFonts w:hint="default" w:ascii="Times New Roman" w:hAnsi="Times New Roman" w:eastAsia="宋体" w:cs="Times New Roman"/>
          <w:kern w:val="0"/>
          <w:sz w:val="24"/>
          <w:szCs w:val="24"/>
          <w:lang w:val="en-US" w:eastAsia="zh-CN" w:bidi="ar"/>
        </w:rPr>
        <w:t>与本项目无直接关系。</w:t>
      </w:r>
      <w:bookmarkEnd w:id="7"/>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消防监控室：</w:t>
      </w:r>
      <w:bookmarkStart w:id="8" w:name="WYJBQK_xyai_xqwj_wyxm_XFJKS_0"/>
      <w:r>
        <w:rPr>
          <w:rFonts w:hint="default" w:ascii="Times New Roman" w:hAnsi="Times New Roman" w:eastAsia="宋体" w:cs="Times New Roman"/>
          <w:kern w:val="0"/>
          <w:sz w:val="24"/>
          <w:szCs w:val="24"/>
          <w:lang w:val="en-US" w:eastAsia="zh-CN" w:bidi="ar"/>
        </w:rPr>
        <w:t>与本项目无直接关系。</w:t>
      </w:r>
      <w:bookmarkEnd w:id="8"/>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安防监控室：</w:t>
      </w:r>
      <w:bookmarkStart w:id="9" w:name="WYJBQK_xyai_xqwj_wyxm_AFJKS_0"/>
      <w:r>
        <w:rPr>
          <w:rFonts w:hint="default" w:ascii="Times New Roman" w:hAnsi="Times New Roman" w:eastAsia="宋体" w:cs="Times New Roman"/>
          <w:kern w:val="0"/>
          <w:sz w:val="24"/>
          <w:szCs w:val="24"/>
          <w:lang w:val="en-US" w:eastAsia="zh-CN" w:bidi="ar"/>
        </w:rPr>
        <w:t>与本项目无直接关系。</w:t>
      </w:r>
      <w:bookmarkEnd w:id="9"/>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传达室：</w:t>
      </w:r>
      <w:bookmarkStart w:id="10" w:name="WYJBQK_xyai_xqwj_wyxm_CDS_0"/>
      <w:r>
        <w:rPr>
          <w:rFonts w:hint="default" w:ascii="Times New Roman" w:hAnsi="Times New Roman" w:eastAsia="宋体" w:cs="Times New Roman"/>
          <w:kern w:val="0"/>
          <w:sz w:val="24"/>
          <w:szCs w:val="24"/>
          <w:lang w:val="en-US" w:eastAsia="zh-CN" w:bidi="ar"/>
        </w:rPr>
        <w:t>与本项目无直接关系。</w:t>
      </w:r>
      <w:bookmarkEnd w:id="10"/>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会议室：</w:t>
      </w:r>
      <w:bookmarkStart w:id="11" w:name="WYJBQK_xyai_xqwj_wyxm_HYS_0"/>
      <w:r>
        <w:rPr>
          <w:rFonts w:hint="default" w:ascii="Times New Roman" w:hAnsi="Times New Roman" w:eastAsia="宋体" w:cs="Times New Roman"/>
          <w:kern w:val="0"/>
          <w:sz w:val="24"/>
          <w:szCs w:val="24"/>
          <w:lang w:val="en-US" w:eastAsia="zh-CN" w:bidi="ar"/>
        </w:rPr>
        <w:t>与本项目无直接关系。</w:t>
      </w:r>
      <w:bookmarkEnd w:id="11"/>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附属配套设施情况：</w:t>
      </w:r>
      <w:bookmarkStart w:id="12" w:name="WYJBQK_xyai_xqwj_wyxm_FSPTQK_0"/>
      <w:r>
        <w:rPr>
          <w:rFonts w:hint="default" w:ascii="Times New Roman" w:hAnsi="Times New Roman" w:eastAsia="宋体" w:cs="Times New Roman"/>
          <w:kern w:val="0"/>
          <w:sz w:val="24"/>
          <w:szCs w:val="24"/>
          <w:lang w:val="en-US" w:eastAsia="zh-CN" w:bidi="ar"/>
        </w:rPr>
        <w:t>与本项目无直接关系。</w:t>
      </w:r>
      <w:bookmarkEnd w:id="12"/>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bCs w:val="0"/>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设备设施情况：</w:t>
      </w:r>
      <w:bookmarkStart w:id="13" w:name="WYJBQK_xyai_xqwj_wyxm_SBSSQK_0"/>
      <w:r>
        <w:rPr>
          <w:rFonts w:hint="default" w:ascii="Times New Roman" w:hAnsi="Times New Roman" w:eastAsia="宋体" w:cs="Times New Roman"/>
          <w:kern w:val="0"/>
          <w:sz w:val="24"/>
          <w:szCs w:val="24"/>
          <w:lang w:val="en-US" w:eastAsia="zh-CN" w:bidi="ar"/>
        </w:rPr>
        <w:t>喷灌管网系统，快速取水阀，各类喷头。</w:t>
      </w:r>
      <w:bookmarkEnd w:id="13"/>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eastAsia="宋体"/>
          <w:lang w:val="en-US" w:eastAsia="zh-CN"/>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可提供给供应商的基本条件：</w:t>
      </w:r>
      <w:bookmarkStart w:id="14" w:name="WYJBQK_xyai_xqwj_wyxm_GYSJBTJ_0"/>
      <w:r>
        <w:rPr>
          <w:rFonts w:hint="eastAsia" w:ascii="Times New Roman" w:hAnsi="Times New Roman" w:eastAsia="宋体" w:cs="Times New Roman"/>
          <w:kern w:val="0"/>
          <w:sz w:val="24"/>
          <w:szCs w:val="24"/>
          <w:lang w:val="en-US" w:eastAsia="zh-CN" w:bidi="ar"/>
        </w:rPr>
        <w:t>提供</w:t>
      </w:r>
      <w:r>
        <w:rPr>
          <w:rFonts w:hint="default" w:ascii="Times New Roman" w:hAnsi="Times New Roman" w:eastAsia="宋体" w:cs="Times New Roman"/>
          <w:kern w:val="0"/>
          <w:sz w:val="24"/>
          <w:szCs w:val="24"/>
          <w:lang w:val="en-US" w:eastAsia="zh-CN" w:bidi="ar"/>
        </w:rPr>
        <w:t>存放工具室</w:t>
      </w:r>
      <w:bookmarkEnd w:id="14"/>
      <w:r>
        <w:rPr>
          <w:rFonts w:hint="eastAsia" w:ascii="Times New Roman" w:hAnsi="Times New Roman" w:eastAsia="宋体" w:cs="Times New Roman"/>
          <w:kern w:val="0"/>
          <w:sz w:val="24"/>
          <w:szCs w:val="24"/>
          <w:lang w:val="en-US" w:eastAsia="zh-CN" w:bidi="ar"/>
        </w:rPr>
        <w:t>、不提供住宿、就餐场地。</w:t>
      </w:r>
    </w:p>
    <w:p>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其他：</w:t>
      </w:r>
      <w:bookmarkStart w:id="15" w:name="WYJBQK_xyai_xqwj_wyxm_QT_0"/>
      <w:r>
        <w:rPr>
          <w:rFonts w:hint="default" w:ascii="Times New Roman" w:hAnsi="Times New Roman" w:eastAsia="宋体" w:cs="Times New Roman"/>
          <w:kern w:val="0"/>
          <w:sz w:val="24"/>
          <w:szCs w:val="24"/>
          <w:lang w:val="en-US" w:eastAsia="zh-CN" w:bidi="ar"/>
        </w:rPr>
        <w:t>无。</w:t>
      </w:r>
      <w:bookmarkEnd w:id="15"/>
    </w:p>
    <w:p>
      <w:pPr>
        <w:pageBreakBefore/>
      </w:pPr>
    </w:p>
    <w:p>
      <w:pPr>
        <w:pStyle w:val="16"/>
        <w:keepNext w:val="0"/>
        <w:keepLines w:val="0"/>
        <w:pageBreakBefore w:val="0"/>
        <w:widowControl w:val="0"/>
        <w:tabs>
          <w:tab w:val="left" w:pos="525"/>
          <w:tab w:val="left" w:pos="705"/>
        </w:tabs>
        <w:kinsoku/>
        <w:wordWrap/>
        <w:overflowPunct/>
        <w:topLinePunct w:val="0"/>
        <w:autoSpaceDE/>
        <w:autoSpaceDN/>
        <w:bidi w:val="0"/>
        <w:adjustRightInd/>
        <w:snapToGrid w:val="0"/>
        <w:spacing w:before="260" w:after="260" w:line="360" w:lineRule="auto"/>
        <w:ind w:firstLine="481"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服务总体性要求</w:t>
      </w:r>
    </w:p>
    <w:p>
      <w:pPr>
        <w:pStyle w:val="1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bidi="ar"/>
        </w:rPr>
        <w:t>服务</w:t>
      </w:r>
      <w:r>
        <w:rPr>
          <w:rFonts w:hint="default" w:ascii="Times New Roman" w:hAnsi="Times New Roman" w:eastAsia="宋体" w:cs="Times New Roman"/>
          <w:kern w:val="0"/>
          <w:sz w:val="24"/>
          <w:szCs w:val="24"/>
          <w:lang w:val="en-US" w:eastAsia="zh-CN" w:bidi="ar"/>
        </w:rPr>
        <w:t>内容：</w:t>
      </w:r>
      <w:bookmarkStart w:id="16" w:name="物业服务总体性要求_xyai_xqwj_wyxm_WYFWNR_0"/>
      <w:r>
        <w:rPr>
          <w:rFonts w:hint="default" w:ascii="Times New Roman" w:hAnsi="Times New Roman" w:eastAsia="宋体" w:cs="Times New Roman"/>
          <w:kern w:val="0"/>
          <w:sz w:val="24"/>
          <w:szCs w:val="24"/>
          <w:lang w:val="en-US" w:eastAsia="zh-CN" w:bidi="ar"/>
        </w:rPr>
        <w:t>1.供应商需为采购人提供园林绿化养护服务，对园区内所有乔灌木、地被花卉、竹类植物、水生花卉及草坪进行精细化养护和绿地管理，包括但不限于苗木修剪、病虫害防治作业，定期浇水、施肥、中耕除草、植物铭牌制作、防冻、防涝、防风措施以及围堰修整、枯枝死树、残树(花草)的更换；喷淋灌溉系统等附属设施的养护及维护；园区内景观水系管理维护；绿化垃圾清理外运；技术档案管理和安全防护等工作。</w:t>
      </w:r>
      <w:r>
        <w:rPr>
          <w:rFonts w:hint="default" w:ascii="Times New Roman" w:hAnsi="Times New Roman" w:eastAsia="宋体" w:cs="Times New Roman"/>
          <w:kern w:val="0"/>
          <w:sz w:val="24"/>
          <w:szCs w:val="24"/>
          <w:lang w:val="en-US" w:eastAsia="zh-CN" w:bidi="ar"/>
        </w:rPr>
        <w:cr/>
      </w:r>
      <w:r>
        <w:rPr>
          <w:rFonts w:hint="eastAsia" w:ascii="Times New Roman" w:hAnsi="Times New Roman" w:eastAsia="宋体" w:cs="Times New Roman"/>
          <w:kern w:val="0"/>
          <w:sz w:val="24"/>
          <w:szCs w:val="24"/>
          <w:lang w:val="en-US" w:eastAsia="zh-CN" w:bidi="ar"/>
        </w:rPr>
        <w:t xml:space="preserve">    </w:t>
      </w:r>
      <w:r>
        <w:rPr>
          <w:rFonts w:hint="default" w:ascii="Times New Roman" w:hAnsi="Times New Roman" w:eastAsia="宋体" w:cs="Times New Roman"/>
          <w:kern w:val="0"/>
          <w:sz w:val="24"/>
          <w:szCs w:val="24"/>
          <w:lang w:val="en-US" w:eastAsia="zh-CN" w:bidi="ar"/>
        </w:rPr>
        <w:t>2.每年的劳动节、国庆节以及重大文化活动，根据采购人要求,制定园区花坛摆放方案，报采购人审核通过后，在园区大门、1号楼、2号楼、3号楼等重要位置布置绿植、花坛，全年不超过4次。</w:t>
      </w:r>
      <w:r>
        <w:rPr>
          <w:rFonts w:hint="default" w:ascii="Times New Roman" w:hAnsi="Times New Roman" w:eastAsia="宋体" w:cs="Times New Roman"/>
          <w:kern w:val="0"/>
          <w:sz w:val="24"/>
          <w:szCs w:val="24"/>
          <w:lang w:val="en-US" w:eastAsia="zh-CN" w:bidi="ar"/>
        </w:rPr>
        <w:cr/>
      </w:r>
      <w:r>
        <w:rPr>
          <w:rFonts w:hint="eastAsia" w:ascii="Times New Roman" w:hAnsi="Times New Roman" w:eastAsia="宋体" w:cs="Times New Roman"/>
          <w:kern w:val="0"/>
          <w:sz w:val="24"/>
          <w:szCs w:val="24"/>
          <w:lang w:val="en-US" w:eastAsia="zh-CN" w:bidi="ar"/>
        </w:rPr>
        <w:t xml:space="preserve">    </w:t>
      </w:r>
      <w:r>
        <w:rPr>
          <w:rFonts w:hint="default" w:ascii="Times New Roman" w:hAnsi="Times New Roman" w:eastAsia="宋体" w:cs="Times New Roman"/>
          <w:kern w:val="0"/>
          <w:sz w:val="24"/>
          <w:szCs w:val="24"/>
          <w:lang w:val="en-US" w:eastAsia="zh-CN" w:bidi="ar"/>
        </w:rPr>
        <w:t>3.园区内3号、4号、5号楼门口指定位置共摆放养护14株铁树盆栽。</w:t>
      </w:r>
      <w:r>
        <w:rPr>
          <w:rFonts w:hint="default" w:ascii="Times New Roman" w:hAnsi="Times New Roman" w:eastAsia="宋体" w:cs="Times New Roman"/>
          <w:kern w:val="0"/>
          <w:sz w:val="24"/>
          <w:szCs w:val="24"/>
          <w:lang w:val="en-US" w:eastAsia="zh-CN" w:bidi="ar"/>
        </w:rPr>
        <w:cr/>
      </w:r>
      <w:r>
        <w:rPr>
          <w:rFonts w:hint="eastAsia" w:ascii="Times New Roman" w:hAnsi="Times New Roman" w:eastAsia="宋体" w:cs="Times New Roman"/>
          <w:kern w:val="0"/>
          <w:sz w:val="24"/>
          <w:szCs w:val="24"/>
          <w:lang w:val="en-US" w:eastAsia="zh-CN" w:bidi="ar"/>
        </w:rPr>
        <w:t xml:space="preserve">    </w:t>
      </w:r>
      <w:r>
        <w:rPr>
          <w:rFonts w:hint="default" w:ascii="Times New Roman" w:hAnsi="Times New Roman" w:eastAsia="宋体" w:cs="Times New Roman"/>
          <w:kern w:val="0"/>
          <w:sz w:val="24"/>
          <w:szCs w:val="24"/>
          <w:lang w:val="en-US" w:eastAsia="zh-CN" w:bidi="ar"/>
        </w:rPr>
        <w:t>4.水生花卉和水生植物覆盖率占景观水域面积的60%以上。</w:t>
      </w:r>
      <w:r>
        <w:rPr>
          <w:rFonts w:hint="default" w:ascii="Times New Roman" w:hAnsi="Times New Roman" w:eastAsia="宋体" w:cs="Times New Roman"/>
          <w:kern w:val="0"/>
          <w:sz w:val="24"/>
          <w:szCs w:val="24"/>
          <w:lang w:val="en-US" w:eastAsia="zh-CN" w:bidi="ar"/>
        </w:rPr>
        <w:cr/>
      </w:r>
      <w:r>
        <w:rPr>
          <w:rFonts w:hint="eastAsia" w:ascii="Times New Roman" w:hAnsi="Times New Roman" w:eastAsia="宋体" w:cs="Times New Roman"/>
          <w:kern w:val="0"/>
          <w:sz w:val="24"/>
          <w:szCs w:val="24"/>
          <w:lang w:val="en-US" w:eastAsia="zh-CN" w:bidi="ar"/>
        </w:rPr>
        <w:t xml:space="preserve">    </w:t>
      </w:r>
      <w:r>
        <w:rPr>
          <w:rFonts w:hint="default" w:ascii="Times New Roman" w:hAnsi="Times New Roman" w:eastAsia="宋体" w:cs="Times New Roman"/>
          <w:kern w:val="0"/>
          <w:sz w:val="24"/>
          <w:szCs w:val="24"/>
          <w:lang w:val="en-US" w:eastAsia="zh-CN" w:bidi="ar"/>
        </w:rPr>
        <w:t>5.每年植树节活动提供50株苗木（包括但不限于白皮松、华山松、紫玉兰、山桃、西府海棠等）和相应配套工具以及土地整治。</w:t>
      </w:r>
      <w:r>
        <w:rPr>
          <w:rFonts w:hint="default" w:ascii="Times New Roman" w:hAnsi="Times New Roman" w:eastAsia="宋体" w:cs="Times New Roman"/>
          <w:kern w:val="0"/>
          <w:sz w:val="24"/>
          <w:szCs w:val="24"/>
          <w:lang w:val="en-US" w:eastAsia="zh-CN" w:bidi="ar"/>
        </w:rPr>
        <w:cr/>
      </w:r>
      <w:r>
        <w:rPr>
          <w:rFonts w:hint="eastAsia" w:ascii="Times New Roman" w:hAnsi="Times New Roman" w:eastAsia="宋体" w:cs="Times New Roman"/>
          <w:kern w:val="0"/>
          <w:sz w:val="24"/>
          <w:szCs w:val="24"/>
          <w:lang w:val="en-US" w:eastAsia="zh-CN" w:bidi="ar"/>
        </w:rPr>
        <w:t xml:space="preserve">    </w:t>
      </w:r>
      <w:r>
        <w:rPr>
          <w:rFonts w:hint="default" w:ascii="Times New Roman" w:hAnsi="Times New Roman" w:eastAsia="宋体" w:cs="Times New Roman"/>
          <w:kern w:val="0"/>
          <w:sz w:val="24"/>
          <w:szCs w:val="24"/>
          <w:lang w:val="en-US" w:eastAsia="zh-CN" w:bidi="ar"/>
        </w:rPr>
        <w:t>6.其他临时性绿化工作。</w:t>
      </w:r>
      <w:bookmarkEnd w:id="16"/>
    </w:p>
    <w:p>
      <w:pPr>
        <w:pStyle w:val="1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报价要求：</w:t>
      </w:r>
      <w:bookmarkStart w:id="17" w:name="物业服务总体性要求_xyai_xqwj_wyxm_BJYQ_0"/>
      <w:r>
        <w:rPr>
          <w:rFonts w:hint="default" w:ascii="Times New Roman" w:hAnsi="Times New Roman" w:eastAsia="宋体" w:cs="Times New Roman"/>
          <w:kern w:val="0"/>
          <w:sz w:val="24"/>
          <w:szCs w:val="24"/>
          <w:lang w:val="en-US" w:eastAsia="zh-CN" w:bidi="ar"/>
        </w:rPr>
        <w:t>报价中应包括但不限于：为完成本项目所发生的一切费用,人工费、绿化养护、保洁费、病虫害防治费、施肥、浇水灌溉、电费、水费、材料费、施工机械使用费、措施费、工具折旧费、各项税费及其他相关费用。</w:t>
      </w:r>
      <w:bookmarkEnd w:id="17"/>
    </w:p>
    <w:p>
      <w:pPr>
        <w:pStyle w:val="1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bidi="ar"/>
        </w:rPr>
        <w:t>服务</w:t>
      </w:r>
      <w:r>
        <w:rPr>
          <w:rFonts w:hint="default" w:ascii="Times New Roman" w:hAnsi="Times New Roman" w:eastAsia="宋体" w:cs="Times New Roman"/>
          <w:kern w:val="0"/>
          <w:sz w:val="24"/>
          <w:szCs w:val="24"/>
          <w:lang w:val="en-US" w:eastAsia="zh-CN" w:bidi="ar"/>
        </w:rPr>
        <w:t>人员要求：</w:t>
      </w:r>
      <w:bookmarkStart w:id="18" w:name="PO_物业服务总体性要求_xyai_xqwj_wyxm_WYFWRYYQ_0"/>
      <w:r>
        <w:rPr>
          <w:rFonts w:hint="default" w:ascii="Times New Roman" w:hAnsi="Times New Roman" w:eastAsia="宋体" w:cs="Times New Roman"/>
          <w:kern w:val="0"/>
          <w:sz w:val="24"/>
          <w:szCs w:val="24"/>
          <w:lang w:val="en-US" w:eastAsia="zh-CN" w:bidi="ar"/>
        </w:rPr>
        <w:t>1.本项目服务人员数量不少于23人（详见人员配备要求表）</w:t>
      </w:r>
      <w:r>
        <w:rPr>
          <w:rFonts w:hint="default" w:ascii="Times New Roman" w:hAnsi="Times New Roman" w:eastAsia="宋体" w:cs="Times New Roman"/>
          <w:kern w:val="0"/>
          <w:sz w:val="24"/>
          <w:szCs w:val="24"/>
          <w:lang w:val="en-US" w:eastAsia="zh-CN" w:bidi="ar"/>
        </w:rPr>
        <w:cr/>
      </w:r>
      <w:r>
        <w:rPr>
          <w:rFonts w:hint="default" w:ascii="Times New Roman" w:hAnsi="Times New Roman" w:eastAsia="宋体" w:cs="Times New Roman"/>
          <w:kern w:val="0"/>
          <w:sz w:val="24"/>
          <w:szCs w:val="24"/>
          <w:lang w:val="en-US" w:eastAsia="zh-CN" w:bidi="ar"/>
        </w:rPr>
        <w:t>2.人员录用、培训要求：服务人员的年龄、学历、工作经验及资格条件须与所在岗位能力要求相匹配，到岗前须经过必要的岗前培训以达到岗位要求，国家、行业规定应取得职业资格证书或特种作业证书的，应按规定持证上岗。</w:t>
      </w:r>
      <w:r>
        <w:rPr>
          <w:rFonts w:hint="default" w:ascii="Times New Roman" w:hAnsi="Times New Roman" w:eastAsia="宋体" w:cs="Times New Roman"/>
          <w:kern w:val="0"/>
          <w:sz w:val="24"/>
          <w:szCs w:val="24"/>
          <w:lang w:val="en-US" w:eastAsia="zh-CN" w:bidi="ar"/>
        </w:rPr>
        <w:cr/>
      </w:r>
      <w:r>
        <w:rPr>
          <w:rFonts w:hint="default" w:ascii="Times New Roman" w:hAnsi="Times New Roman" w:eastAsia="宋体" w:cs="Times New Roman"/>
          <w:kern w:val="0"/>
          <w:sz w:val="24"/>
          <w:szCs w:val="24"/>
          <w:lang w:val="en-US" w:eastAsia="zh-CN" w:bidi="ar"/>
        </w:rPr>
        <w:t>3.人员更换及稳定性要求：如采购人认为服务人员不适应岗位要求或存在其他影响工作的矛盾，可要求供应商进行更换。如因供应商原因对服务人员进行更换，须经采购人同意，更换比例不得超过本项目服务人员总数的20%。本项目服务人员不得在其他项目兼职。</w:t>
      </w:r>
      <w:bookmarkEnd w:id="18"/>
    </w:p>
    <w:p>
      <w:pPr>
        <w:pStyle w:val="1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劳动安全要求：</w:t>
      </w:r>
      <w:bookmarkStart w:id="19" w:name="物业服务总体性要求_xyai_xqwj_wyxm_LDAQYQ_0"/>
      <w:r>
        <w:rPr>
          <w:rFonts w:hint="default" w:ascii="Times New Roman" w:hAnsi="Times New Roman" w:eastAsia="宋体" w:cs="Times New Roman"/>
          <w:kern w:val="0"/>
          <w:sz w:val="24"/>
          <w:szCs w:val="24"/>
          <w:lang w:val="en-US" w:eastAsia="zh-CN" w:bidi="ar"/>
        </w:rPr>
        <w:t>供应商负责必须建立、健全劳动安全卫生制度，严格执行国家劳动安全卫生规程和标准，对下属员工进行劳动安全卫生教育，防治劳动过程中的事故，减少职业危害，安全卫生设施必须符合国家规定的标准。供应商必须为劳动者提供符合国家规定的劳动安全卫生条件和必要的劳动防护用品，对从事有职业危害作业的劳动者应当定期进行健康检查。员工在劳动过程中必须严格遵守安全操作规程，员工意外伤害保险由供应商负责，出现任何意外伤害事故责任主体为供应商。</w:t>
      </w:r>
      <w:bookmarkEnd w:id="19"/>
    </w:p>
    <w:p>
      <w:pPr>
        <w:pStyle w:val="1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保密工作要求：</w:t>
      </w:r>
      <w:bookmarkStart w:id="20" w:name="物业服务总体性要求_xyai_xqwj_wyxm_BMGZYQ_0"/>
      <w:r>
        <w:rPr>
          <w:rFonts w:hint="default" w:ascii="Times New Roman" w:hAnsi="Times New Roman" w:eastAsia="宋体" w:cs="Times New Roman"/>
          <w:kern w:val="0"/>
          <w:sz w:val="24"/>
          <w:szCs w:val="24"/>
          <w:lang w:val="en-US" w:eastAsia="zh-CN" w:bidi="ar"/>
        </w:rPr>
        <w:t>供应商应遵守采购人保密规定，本项目服务人员应按照采购人有关部门要求签订保密协议，对知悉、获取的采购人任何信息、资料等均有保密义务，不得转告、传送和持有。同时应承担违反保密规定的法律责任与经济赔偿责任。供应商须对本项目服务人员进行经常性保密教育。</w:t>
      </w:r>
      <w:bookmarkEnd w:id="20"/>
    </w:p>
    <w:p>
      <w:pPr>
        <w:pStyle w:val="1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零星小修：</w:t>
      </w:r>
      <w:bookmarkStart w:id="21" w:name="物业服务总体性要求_xyai_xqwj_wyxm_LXXX_0"/>
      <w:r>
        <w:rPr>
          <w:rFonts w:hint="default" w:ascii="Times New Roman" w:hAnsi="Times New Roman" w:eastAsia="宋体" w:cs="Times New Roman"/>
          <w:kern w:val="0"/>
          <w:sz w:val="24"/>
          <w:szCs w:val="24"/>
          <w:lang w:val="en-US" w:eastAsia="zh-CN" w:bidi="ar"/>
        </w:rPr>
        <w:t>500元以下零维修的材料费用由供应商承担，例如水龙头、喷头、水管等浇灌系统的维修。</w:t>
      </w:r>
      <w:bookmarkEnd w:id="21"/>
    </w:p>
    <w:p>
      <w:pPr>
        <w:keepNext w:val="0"/>
        <w:keepLines w:val="0"/>
        <w:widowControl/>
        <w:suppressLineNumbers w:val="0"/>
        <w:ind w:firstLine="480" w:firstLineChars="200"/>
        <w:jc w:val="left"/>
        <w:rPr>
          <w:rFonts w:hint="default" w:ascii="Times New Roman" w:hAnsi="Times New Roman"/>
          <w:kern w:val="0"/>
          <w:sz w:val="24"/>
          <w:szCs w:val="24"/>
          <w:lang w:val="en-US" w:bidi="ar"/>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lang w:bidi="ar"/>
        </w:rPr>
        <w:t xml:space="preserve"> </w:t>
      </w:r>
      <w:r>
        <w:rPr>
          <w:rFonts w:hint="default" w:ascii="Times New Roman" w:hAnsi="Times New Roman" w:eastAsia="宋体" w:cs="Times New Roman"/>
          <w:kern w:val="0"/>
          <w:sz w:val="24"/>
          <w:szCs w:val="24"/>
          <w:lang w:val="en-US" w:eastAsia="zh-CN" w:bidi="ar"/>
        </w:rPr>
        <w:t>低值易耗品：</w:t>
      </w:r>
      <w:bookmarkStart w:id="22" w:name="物业服务总体性要求_xyai_xqwj_wyxm_DZYHP_0"/>
      <w:r>
        <w:rPr>
          <w:rFonts w:hint="default" w:ascii="Times New Roman" w:hAnsi="Times New Roman" w:eastAsia="宋体" w:cs="Times New Roman"/>
          <w:kern w:val="0"/>
          <w:sz w:val="24"/>
          <w:szCs w:val="24"/>
          <w:lang w:val="en-US" w:eastAsia="zh-CN" w:bidi="ar"/>
        </w:rPr>
        <w:t>垃圾袋、绿化养护工具等</w:t>
      </w:r>
      <w:r>
        <w:rPr>
          <w:rFonts w:ascii="Times New Roman" w:hAnsi="Times New Roman" w:eastAsia="宋体" w:cs="Times New Roman"/>
          <w:i w:val="0"/>
          <w:caps w:val="0"/>
          <w:spacing w:val="0"/>
          <w:kern w:val="0"/>
          <w:sz w:val="24"/>
          <w:szCs w:val="24"/>
          <w:shd w:val="clear"/>
          <w:lang w:val="en-US" w:eastAsia="zh-CN" w:bidi="ar"/>
        </w:rPr>
        <w:t>低值易</w:t>
      </w:r>
      <w:r>
        <w:rPr>
          <w:rFonts w:ascii="Times New Roman" w:hAnsi="Times New Roman" w:eastAsia="宋体" w:cs="Times New Roman"/>
          <w:i w:val="0"/>
          <w:caps w:val="0"/>
          <w:color w:val="1F3149"/>
          <w:spacing w:val="0"/>
          <w:kern w:val="0"/>
          <w:sz w:val="24"/>
          <w:szCs w:val="24"/>
          <w:shd w:val="clear" w:fill="auto"/>
          <w:lang w:val="en-US" w:eastAsia="zh-CN" w:bidi="ar"/>
        </w:rPr>
        <w:t>耗品由供应商提供</w:t>
      </w:r>
      <w:r>
        <w:rPr>
          <w:rFonts w:hint="default" w:ascii="Times New Roman" w:hAnsi="Times New Roman" w:eastAsia="宋体" w:cs="Times New Roman"/>
          <w:i w:val="0"/>
          <w:caps w:val="0"/>
          <w:color w:val="1F3149"/>
          <w:spacing w:val="0"/>
          <w:kern w:val="0"/>
          <w:sz w:val="24"/>
          <w:szCs w:val="24"/>
          <w:shd w:val="clear" w:fill="auto"/>
          <w:lang w:val="en-US" w:eastAsia="zh-CN" w:bidi="ar"/>
        </w:rPr>
        <w:t>。</w:t>
      </w:r>
    </w:p>
    <w:p>
      <w:pPr>
        <w:pStyle w:val="1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供应商应提供化肥、杀虫剂等养护耗费品，化肥、杀虫剂应符合国家各项安全卫生标准，并提供产品厂家信息、注册商标等资料。</w:t>
      </w:r>
      <w:bookmarkEnd w:id="22"/>
    </w:p>
    <w:p>
      <w:pPr>
        <w:pStyle w:val="1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供应商须承担的其他费用：</w:t>
      </w:r>
      <w:bookmarkStart w:id="23" w:name="物业服务总体性要求_xyai_xqwj_wyxm_GYSCDQTFY_0"/>
      <w:r>
        <w:rPr>
          <w:rFonts w:hint="default" w:ascii="Times New Roman" w:hAnsi="Times New Roman" w:eastAsia="宋体" w:cs="Times New Roman"/>
          <w:kern w:val="0"/>
          <w:sz w:val="24"/>
          <w:szCs w:val="24"/>
          <w:lang w:val="en-US" w:eastAsia="zh-CN" w:bidi="ar"/>
        </w:rPr>
        <w:t>无。</w:t>
      </w:r>
      <w:bookmarkEnd w:id="23"/>
    </w:p>
    <w:p>
      <w:pPr>
        <w:pStyle w:val="1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lang w:val="en-US" w:eastAsia="zh-CN" w:bidi="ar"/>
        </w:rPr>
        <w:t>服务</w:t>
      </w:r>
      <w:r>
        <w:rPr>
          <w:rFonts w:hint="default" w:ascii="Times New Roman" w:hAnsi="Times New Roman" w:eastAsia="宋体" w:cs="Times New Roman"/>
          <w:kern w:val="0"/>
          <w:sz w:val="24"/>
          <w:szCs w:val="24"/>
          <w:lang w:val="en-US" w:eastAsia="zh-CN" w:bidi="ar"/>
        </w:rPr>
        <w:t>设备要求：</w:t>
      </w:r>
      <w:bookmarkStart w:id="24" w:name="物业服务总体性要求_xyai_xqwj_wyxm_WYFWSBYQ_0"/>
      <w:r>
        <w:rPr>
          <w:rFonts w:hint="default" w:ascii="Times New Roman" w:hAnsi="Times New Roman" w:eastAsia="宋体" w:cs="Times New Roman"/>
          <w:kern w:val="0"/>
          <w:sz w:val="24"/>
          <w:szCs w:val="24"/>
          <w:lang w:val="en-US" w:eastAsia="zh-CN" w:bidi="ar"/>
        </w:rPr>
        <w:t>供应商自备绿化养护设备</w:t>
      </w:r>
      <w:r>
        <w:rPr>
          <w:rFonts w:hint="eastAsia" w:ascii="Times New Roman" w:hAnsi="Times New Roman" w:eastAsia="宋体" w:cs="Times New Roman"/>
          <w:kern w:val="0"/>
          <w:sz w:val="24"/>
          <w:szCs w:val="24"/>
          <w:lang w:val="en-US" w:eastAsia="zh-CN" w:bidi="ar"/>
        </w:rPr>
        <w:t>，包括不限于</w:t>
      </w:r>
      <w:r>
        <w:rPr>
          <w:rFonts w:hint="eastAsia" w:ascii="宋体" w:hAnsi="宋体" w:eastAsia="宋体" w:cs="宋体"/>
          <w:sz w:val="24"/>
          <w:szCs w:val="24"/>
          <w:highlight w:val="none"/>
          <w:lang w:val="en-US" w:eastAsia="zh-CN" w:bidi="ar-SA"/>
        </w:rPr>
        <w:t>绿篱机、割灌机、高枝油锯、打药机、草坪打孔机、抽水泵、粉碎机、运输车辆等</w:t>
      </w:r>
      <w:r>
        <w:rPr>
          <w:rFonts w:hint="default" w:ascii="Times New Roman" w:hAnsi="Times New Roman" w:eastAsia="宋体" w:cs="Times New Roman"/>
          <w:kern w:val="0"/>
          <w:sz w:val="24"/>
          <w:szCs w:val="24"/>
          <w:lang w:val="en-US" w:eastAsia="zh-CN" w:bidi="ar"/>
        </w:rPr>
        <w:t>。</w:t>
      </w:r>
      <w:bookmarkEnd w:id="24"/>
    </w:p>
    <w:p>
      <w:pPr>
        <w:pStyle w:val="1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0"/>
          <w:sz w:val="24"/>
          <w:szCs w:val="24"/>
          <w:lang w:val="en-US"/>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突发事件应对要求：</w:t>
      </w:r>
      <w:bookmarkStart w:id="25" w:name="物业服务总体性要求_xyai_xqwj_wyxm_TFSJYDYQ_0"/>
      <w:r>
        <w:rPr>
          <w:rFonts w:hint="default" w:ascii="Times New Roman" w:hAnsi="Times New Roman" w:eastAsia="宋体" w:cs="Times New Roman"/>
          <w:kern w:val="0"/>
          <w:sz w:val="24"/>
          <w:szCs w:val="24"/>
          <w:lang w:val="en-US" w:eastAsia="zh-CN" w:bidi="ar"/>
        </w:rPr>
        <w:t>针对自然灾害（地震、洪涝、暴风雨雪等）安全等方面紧急、突发事件建立应对预案。</w:t>
      </w:r>
      <w:bookmarkEnd w:id="25"/>
    </w:p>
    <w:p>
      <w:pPr>
        <w:pStyle w:val="16"/>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val="en-US" w:eastAsia="zh-CN"/>
        </w:rPr>
        <w:t>►</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bidi="ar"/>
        </w:rPr>
        <w:t>其他：</w:t>
      </w:r>
      <w:bookmarkStart w:id="26" w:name="物业服务总体性要求_xyai_xqwj_wyxm_WYFWZTXYQ_0"/>
      <w:r>
        <w:rPr>
          <w:rFonts w:hint="default" w:ascii="Times New Roman" w:hAnsi="Times New Roman" w:eastAsia="宋体" w:cs="Times New Roman"/>
          <w:kern w:val="0"/>
          <w:sz w:val="24"/>
          <w:szCs w:val="24"/>
          <w:lang w:val="en-US" w:eastAsia="zh-CN" w:bidi="ar"/>
        </w:rPr>
        <w:t>1.绿化垃圾清运、垃圾分类费用由供应商承担。2.中标供应商应当根据本项目需求就各项服务建立完善的档案管理制度，并形成完备的服务档案。服务期限届满时，应向采购人提交服务期限内全套服务档案，或根据采购人的要求与第三方进行服务档案的交接。</w:t>
      </w:r>
      <w:bookmarkEnd w:id="26"/>
    </w:p>
    <w:p>
      <w:pPr>
        <w:pageBreakBefore/>
      </w:pPr>
    </w:p>
    <w:p>
      <w:pPr>
        <w:pStyle w:val="1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p>
    <w:p>
      <w:pPr>
        <w:pageBreakBefore/>
      </w:pPr>
    </w:p>
    <w:p>
      <w:pPr>
        <w:pStyle w:val="22"/>
        <w:keepNext w:val="0"/>
        <w:keepLines w:val="0"/>
        <w:pageBreakBefore w:val="0"/>
        <w:widowControl w:val="0"/>
        <w:kinsoku/>
        <w:wordWrap/>
        <w:overflowPunct/>
        <w:topLinePunct w:val="0"/>
        <w:autoSpaceDE/>
        <w:autoSpaceDN/>
        <w:bidi w:val="0"/>
        <w:adjustRightInd/>
        <w:snapToGrid/>
        <w:spacing w:before="260" w:after="260" w:line="360" w:lineRule="auto"/>
        <w:ind w:firstLine="481" w:firstLineChars="200"/>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b/>
          <w:sz w:val="24"/>
          <w:szCs w:val="24"/>
        </w:rPr>
        <w:t>●</w:t>
      </w:r>
      <w:r>
        <w:rPr>
          <w:rFonts w:hint="default" w:ascii="Times New Roman" w:hAnsi="Times New Roman" w:eastAsia="宋体" w:cs="Times New Roman"/>
          <w:b/>
          <w:sz w:val="24"/>
          <w:szCs w:val="24"/>
          <w:lang w:val="en-US" w:eastAsia="zh-CN"/>
        </w:rPr>
        <w:t xml:space="preserve"> </w:t>
      </w:r>
      <w:r>
        <w:rPr>
          <w:rFonts w:hint="default" w:ascii="Times New Roman" w:hAnsi="Times New Roman" w:eastAsia="宋体" w:cs="Times New Roman"/>
          <w:b/>
          <w:sz w:val="24"/>
          <w:szCs w:val="24"/>
        </w:rPr>
        <w:t>绿化养护服务</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园林绿化养护必须达到北京市地方标准《城镇绿地养护技术规范》（DB11/T213-2022）中特级养护质量标准的规定要求。</w:t>
      </w:r>
    </w:p>
    <w:p>
      <w:pPr>
        <w:pStyle w:val="2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绿化养护维护服务标准：</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1.树木长势旺盛。</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2.叶片叶色正常、叶大而肥厚、不黄叶、不焦叶、不卷叶、不落叶、无明显虫屎、虫网、无虫咬食叶片数量。</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3.枝干树干挺直、树干基部无蘖芽、枝干粗壮、无明显枯枝、死桩、基本无蛀干害虫的活卵、活虫，介壳虫在主、侧枝上基本无活虫。</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4.树冠完整美观、分枝点合适、侧枝分布均匀、枝条疏密适当，内膛不乱，通光透光。</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spacing w:val="0"/>
          <w:sz w:val="24"/>
          <w:szCs w:val="24"/>
          <w:highlight w:val="none"/>
          <w:lang w:val="en-US" w:eastAsia="zh-CN"/>
        </w:rPr>
        <w:t>5.行道树分枝点高低、树高、冠幅基本一致，无连续缺株，相邻5株的高差＜10%。</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pacing w:val="0"/>
          <w:sz w:val="24"/>
          <w:szCs w:val="24"/>
          <w:highlight w:val="none"/>
          <w:lang w:val="en-US" w:eastAsia="zh-CN"/>
        </w:rPr>
      </w:pPr>
      <w:r>
        <w:rPr>
          <w:rFonts w:hint="eastAsia" w:ascii="Times New Roman" w:hAnsi="Times New Roman" w:eastAsia="宋体" w:cs="Times New Roman"/>
          <w:spacing w:val="0"/>
          <w:sz w:val="24"/>
          <w:szCs w:val="24"/>
          <w:highlight w:val="none"/>
          <w:lang w:val="en-US" w:eastAsia="zh-CN"/>
        </w:rPr>
        <w:t>6.花灌木着花率高、开花繁茂、无落花落蕾现象。色块灌木无缺株断行、覆盖度达100%，色块分明，线条清晰流畅。</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pacing w:val="0"/>
          <w:sz w:val="24"/>
          <w:szCs w:val="24"/>
          <w:highlight w:val="none"/>
          <w:lang w:val="en-US" w:eastAsia="zh-CN"/>
        </w:rPr>
      </w:pPr>
      <w:r>
        <w:rPr>
          <w:rFonts w:hint="eastAsia" w:ascii="Times New Roman" w:hAnsi="Times New Roman" w:eastAsia="宋体" w:cs="Times New Roman"/>
          <w:spacing w:val="0"/>
          <w:sz w:val="24"/>
          <w:szCs w:val="24"/>
          <w:highlight w:val="none"/>
          <w:lang w:val="en-US" w:eastAsia="zh-CN"/>
        </w:rPr>
        <w:t>7.绿篱、造型灌木形状轮廓清晰，表面平整，园滑、不露空缺、不露枝干、不露捆扎物。</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pacing w:val="0"/>
          <w:sz w:val="24"/>
          <w:szCs w:val="24"/>
          <w:highlight w:val="none"/>
          <w:lang w:val="en-US" w:eastAsia="zh-CN"/>
        </w:rPr>
      </w:pPr>
      <w:r>
        <w:rPr>
          <w:rFonts w:hint="eastAsia" w:ascii="Times New Roman" w:hAnsi="Times New Roman" w:eastAsia="宋体" w:cs="Times New Roman"/>
          <w:spacing w:val="0"/>
          <w:sz w:val="24"/>
          <w:szCs w:val="24"/>
          <w:highlight w:val="none"/>
          <w:lang w:val="en-US" w:eastAsia="zh-CN"/>
        </w:rPr>
        <w:t>8.藤本长藤分布合理、枝叶覆盖均匀、附着牢固、覆盖度达85%以上。</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pacing w:val="0"/>
          <w:sz w:val="24"/>
          <w:szCs w:val="24"/>
          <w:highlight w:val="none"/>
          <w:lang w:val="en-US" w:eastAsia="zh-CN"/>
        </w:rPr>
      </w:pPr>
      <w:r>
        <w:rPr>
          <w:rFonts w:hint="eastAsia" w:ascii="Times New Roman" w:hAnsi="Times New Roman" w:eastAsia="宋体" w:cs="Times New Roman"/>
          <w:spacing w:val="0"/>
          <w:sz w:val="24"/>
          <w:szCs w:val="24"/>
          <w:highlight w:val="none"/>
          <w:lang w:val="en-US" w:eastAsia="zh-CN"/>
        </w:rPr>
        <w:t>9.草花生长健壮、花繁叶茂、无残花败叶。花坛整洁美观、四季有花、层次分明、图案清晰、色彩搭配适宜。</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pacing w:val="0"/>
          <w:sz w:val="24"/>
          <w:szCs w:val="24"/>
          <w:highlight w:val="none"/>
          <w:lang w:val="en-US" w:eastAsia="zh-CN"/>
        </w:rPr>
      </w:pPr>
      <w:r>
        <w:rPr>
          <w:rFonts w:hint="eastAsia" w:ascii="Times New Roman" w:hAnsi="Times New Roman" w:eastAsia="宋体" w:cs="Times New Roman"/>
          <w:spacing w:val="0"/>
          <w:sz w:val="24"/>
          <w:szCs w:val="24"/>
          <w:highlight w:val="none"/>
          <w:lang w:val="en-US" w:eastAsia="zh-CN"/>
        </w:rPr>
        <w:t>10.草坪生长茂盛、叶色正常、基本无秃斑、无枯草层、无杂草、无病虫害、覆盖度达98%以上，留茬高度经常保持在6-8cm。</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（二）灌溉的质量标准</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1.灌溉原则上应根据不同植物生物学特性、树龄、季节、土壤干湿程度，做到适时、适量、不遗漏，每次浇水要浇足浇透。</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2.浇水的年限树木定植后一般乔木需连续浇水3年，灌木5年。土壤质量差、树木生长不良或遇干旱年份，则应延长浇水年限。</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3.乔灌木依据具体情况和浇水原则确定，地栽宿根花卉以土壤不干燥为准，喷灌浇水每次开启时间不少于30分钟，以地面无迳流为准。</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4.夏季高温季节尽量应在早晨和傍晚进行浇水。</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5.雨季应注意排涝、及时排出积水。</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6.现场灌溉设施无法覆盖到的区域，应采用洒水车进行浇水灌溉，保障植物正常生长。</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（三）施肥的质量标准</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1为确保植物正常生长发育，应定期对树木、花卉、草坪等进行施肥，施肥应根据植物种类、树龄、立地条件、生长情况及肥料种类等具体情况而定。</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2.施肥分基肥、追肥两类，基肥一般采用有机肥，在植物休眠期内进行，追肥一般采用化肥或复合肥在植物生长期内进行。基肥应充分腐熟后按一定比例与细土混合后施用，化肥应溶解后再施用。播施化肥一定要注意均匀，用量宜少不宜多，施后必须及时充分浇水，以免伤根伤叶。</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spacing w:val="0"/>
          <w:sz w:val="24"/>
          <w:szCs w:val="24"/>
          <w:highlight w:val="none"/>
          <w:lang w:val="en-US" w:eastAsia="zh-CN"/>
        </w:rPr>
        <w:t>3.</w:t>
      </w:r>
      <w:r>
        <w:rPr>
          <w:rFonts w:hint="eastAsia" w:ascii="Times New Roman" w:hAnsi="Times New Roman" w:eastAsia="宋体" w:cs="Times New Roman"/>
          <w:spacing w:val="0"/>
          <w:kern w:val="0"/>
          <w:sz w:val="24"/>
          <w:szCs w:val="24"/>
          <w:highlight w:val="none"/>
          <w:lang w:val="en-US" w:eastAsia="zh-CN"/>
        </w:rPr>
        <w:t>施肥对象定植五年以内的乔、灌木；生长不良的树木；木本花卉；草坪及草花。</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sz w:val="24"/>
          <w:szCs w:val="24"/>
          <w:highlight w:val="none"/>
          <w:lang w:val="en-US" w:eastAsia="zh-CN"/>
        </w:rPr>
        <w:t>4.</w:t>
      </w:r>
      <w:r>
        <w:rPr>
          <w:rFonts w:hint="eastAsia" w:ascii="Times New Roman" w:hAnsi="Times New Roman" w:eastAsia="宋体" w:cs="Times New Roman"/>
          <w:spacing w:val="0"/>
          <w:kern w:val="0"/>
          <w:sz w:val="24"/>
          <w:szCs w:val="24"/>
          <w:highlight w:val="none"/>
          <w:lang w:val="en-US" w:eastAsia="zh-CN"/>
        </w:rPr>
        <w:t>施肥次数乔木每年施基肥1次，追肥1次；灌木每年施基肥1次，追肥2次；色块灌木和绿篱每年施基肥2次，追肥4次；草坪每年结合打孔施基肥2次，追肥不少于9次；草花以施叶面肥为主，每半月1次。</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 xml:space="preserve">5.施肥量：施基肥（有机肥）乔木（胸径在10公分以下）不少于1.5公斤/株·次，灌木不少于0.5公斤/株·次。追肥一般按0.5%-1%浓度的溶解液施用，干施化肥（氮磷钾复合肥）一般用量，乔木不超过250克/株·次，灌木不超过150克/株·次，色块灌木和绿篱不超过30克/㎡·次，草坪不超过10克/㎡·次。 </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 xml:space="preserve">6.乔、灌木施肥应挖掘施肥沟、穴，以不伤或少伤树根为准，深度不浅于30公分。 </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（四）松土除草的质量标准</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kern w:val="0"/>
          <w:sz w:val="24"/>
          <w:szCs w:val="24"/>
          <w:highlight w:val="none"/>
          <w:lang w:val="en-US" w:eastAsia="zh-CN"/>
        </w:rPr>
      </w:pPr>
      <w:r>
        <w:rPr>
          <w:rFonts w:hint="eastAsia" w:ascii="Times New Roman" w:hAnsi="Times New Roman" w:eastAsia="宋体" w:cs="Times New Roman"/>
          <w:spacing w:val="0"/>
          <w:sz w:val="24"/>
          <w:szCs w:val="24"/>
          <w:highlight w:val="none"/>
          <w:lang w:val="en-US" w:eastAsia="zh-CN"/>
        </w:rPr>
        <w:t>1.松土：土壤板结时要及时进行松土，松土深度3～5cm为宜。草坪应用打孔机松土，每年不少于2次。</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2.除草：掌握“除早、除小、除了”的原则，随时清除杂草，除草必须连根剔除，绿地内应做到基本无杂草，草坪的纯净度应达到98%以上。</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（五）修剪的质量标准</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1.修剪应根据树种习性、设计意图、养护季节、景观效果为原则，达到均衡树势、调节生长、姿态优美、花繁叶茂的目的。</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2.修剪包括除芽、去蘖、摘心摘芽、疏枝、短截、整形、更冠等内容，分常规修剪和造型（整形）修剪两类。</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3.常规修剪以保持自然树型为基本要求，按照“多疏少截”的原则及时剥芽、去蘖、合理短截并疏剪内膛枝、重叠枝、交叉枝、下垂枝、腐枯枝、病虫枝、徒长枝、衰弱枝和损伤枝，保持内膛通风透光，树冠丰满。</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4.造型修剪以剪、锯、捆、扎等手段，将树冠整修成特定的形状，达到外形轮廊清晰、树冠表面平整、圆滑、不露空缺，不露枝干、不露捆扎物。</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5.乔木的修剪一般只进行常规修枝，对主、侧枝尚未定型的树木可采取短截技术逐年形成三级分枝骨架。庭荫树的分枝点应随着树木生长逐步提高，树冠与树干高度的比例应在7:3至6:4之间。行道树在同一路段的分枝点高低、树高、冠幅大小应基本一致，上方有架空电力线时，应按电力部门的相关规定及时剪除影响安全的枝条。</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6.灌木的修剪一般以保持其自然姿态，疏剪过密枝条，保持内膛通风透光。对丛生灌木的衰老主枝，应本着“留新去老”的原则培养徒长枝或分期短截老枝进行更新。观花灌木和观花小乔木的修剪应掌握花芽发育规律，对当年新稍上开花的花木应于早春萌发前修剪，短截上年的已花枝条，促使新枝萌发。对当年形成花芽，次年早春开花的花木，应在开花后适度修剪，对着花率低的老枝要进行逐年更新。在多年生枝上开花的花木，应保持培养老枝，剪去过密新枝。</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7.绿篱和造型灌木（含色块灌木）的修剪，一般按造型修剪的方法进行，按照规定的形状和高度修剪。每次修剪应保持形状轮廓线条清晰、表面平整、圆滑。修剪后新梢生长超过10cm时，应进行第二次修剪。若生长过密影响通风透光时，要进行内膛疏剪。当生长高度影响景观效果时要进行强度修剪，强度修剪宜在休眠期进行。</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8.藤本的修剪藤本每年常规修剪一次，每隔2～3年应理藤一次，彻底清理枯死藤蔓、理顺分布方向，使叶幕分布均匀、厚度相等。</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9.草花的修剪要掌握各种花卉的生长开花习性，用剪梢、摘心等方法促使侧芽生长，增多开花枝数。要不断摘除花后残花、黄叶、病虫叶，增强花繁叶茂的观赏效果。</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10.草坪的修剪草坪的修剪高度应保持在6-8cm，当草高超过12cm时必须进行修剪。混播草坪修剪次数不少于20次/年，结缕草不少于5次/年。</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11.修剪时间落叶乔、灌木在冬季休眠期进行，常绿乔、灌木在生长期进行。绿篱、造型灌木、色块灌木、草坪等按养护要求及时进行。</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pacing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12.修剪次数乔木不少于1次/年，灌木不少于2次/年，绿篱、造型灌木不少于12次/年，色块灌木不少于8次/年。</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13.修剪的剪口或锯口要平整光滑，不得劈裂、不留短桩。</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14.修剪应按技术操作规程的要求进行，须特别注意安全。</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（六）病虫害防治的质量标准</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1.全面贯彻“预防为主，综合防治”的方针，掌握园林植物病虫害发生规律，在预测、预报的指导下对可能发生的病虫害做好预防，已经发生的病虫害要及时治理、防止蔓延成灾。病虫害发生率应控制在8%以下。</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2.病虫害的药物防治要根据不同的树种、病虫害种类和具体环境条件，正确选用农药种类、剂型、浓度和施用方法，使之既能充分发挥药效，又不产生药害，减少对环境的污染。</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3.药物防治</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施药要掌握有利时机，害虫在孵化期或幼虫三龄期以前施药最为有效、真菌病害要在孢子萌发期或侵染初期施药。喷药应成雾状，做到由内向外、由上向下、叶面叶背喷药均匀，不留空白。喷药应在无风的晴天进行，阴雨或高温炎热的中午不宜喷药。喷药时要注意行人安全、避开人流高峰时段，喷药范围内有食品、水果、鱼池等，要待移出或遮盖后方能进行。</w:t>
      </w:r>
    </w:p>
    <w:p>
      <w:pPr>
        <w:pStyle w:val="25"/>
        <w:keepNext w:val="0"/>
        <w:keepLines w:val="0"/>
        <w:pageBreakBefore w:val="0"/>
        <w:widowControl w:val="0"/>
        <w:kinsoku/>
        <w:wordWrap/>
        <w:overflowPunct/>
        <w:topLinePunct w:val="0"/>
        <w:autoSpaceDE/>
        <w:autoSpaceDN/>
        <w:bidi w:val="0"/>
        <w:adjustRightInd/>
        <w:snapToGrid/>
        <w:spacing w:line="360" w:lineRule="auto"/>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对药械难以喷到顶端的高大树木或蛀干害虫，可采用树干注射法防治。喷药后要立即清洗药械，不准乱倒残液。</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4.物理防治</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挖除地下害虫时，深度应在5～20cm以内，接近树根时不能伤及根系。人工刮除树木枝干上介壳虫等虫体，要彻底干净，不得损伤枝条或枝干内皮，刮除树木枝干上的腐烂病害时，要将受害部位全部清除干净，伤口要进行消毒并涂抹保护剂，刮落的虫体和带病的树皮，要及时收集烧毁。</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5.农药要妥善保管，施药人员应注意自身的安全，必须按规定穿戴工作服、工作帽、戴好风镜、口罩、手套及其他防护用具。</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（七）撑扶正的质量标准</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要求树木基本端正，如不正须进行扶正，落叶树在休眠期进行，常绿树在萌芽前进行。扶正前应先疏剪部分枝桠或进行短截，确保扶正树木的成活。</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新栽大树和扶正后的树木应进行支撑，支撑材料在同一路段或区域内应当统一，支撑方式要规范、整齐。支撑着力点应超过树高的1/2以上，支撑材料在着力点与树干接触处应铺垫软质材料，以免损伤树皮。每年雨季前要对支撑进行一次全面检查，对松动的支撑要及时加固，对嵌入树皮的捆扎物要及时解除。</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（八）绿地保洁的质量标准</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1.随时保持绿地清洁美观，及时清运草屑、树枝、死树等施工残留物，现场堆放时间不得超过当天。</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2.有条件的场所要经常冲洗树木枝叶上的积尘，防止堵塞气孔和影响景观效果。</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3.绿地浇灌时加强巡检，严防积水四溢造成区域性的积水。</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（九）管护安全的质量标准</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1.绿化管护的各道工序施工要做到以人为本、安全施工、文明作业。</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2.道路、园区绿化管护要统一着安全装，设置警示语或警示标志，保证工作人员和过往行人的安全。</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（十）冬季防寒</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1.防寒棚的搭建。园区冬季各类绿篱、球类、竹子及耐寒越冬能力较弱的绿植在冬季要采取全包式防寒，秋季10月中旬开始防寒棚打桩工作，在框架搭建完毕进入封布前要进行绿篱下落叶清理工作，使用吹风机、小钩子等工具，确保落叶清理干净后开始封布，防寒棚搭建工作不得晚于12月20日结束。</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2.冬季留守工作。根据绿化工作的特性，在进入冬季撤场时保留足够的冬季留守人员，每日开展绿化巡查工作，随时清理绿地内枯枝落叶，处理大风刮断折枝，修补损坏防寒棚，检查绿化给水阀门及管道有无受冻损坏。绿化冬季留守人员纳入环境班组统一管理，配合环境班组清理园区积雪。绿化全面复工不得晚于每年2月25日。</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（十一）补栽</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1.保持绿地植物的种植量，缺株断行应当月补栽。补栽应使用同品种、基本同规格的苗木，保证补栽后的景观效果。</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2.草坪秃斑应随缺随补，保证草坪的覆盖度和致密度。补草可采用点栽、播种和铺设等不同方法。</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（十二）垃圾清理</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1.绿化垃圾:保证每日有工作人员在岗对当日绿化垃圾清运，</w:t>
      </w:r>
      <w:r>
        <w:rPr>
          <w:rFonts w:ascii="Times New Roman" w:hAnsi="Times New Roman" w:eastAsia="宋体" w:cs="Times New Roman"/>
          <w:spacing w:val="0"/>
          <w:kern w:val="0"/>
          <w:sz w:val="24"/>
          <w:szCs w:val="24"/>
          <w:highlight w:val="none"/>
          <w:lang w:val="en-US" w:eastAsia="zh-CN"/>
        </w:rPr>
        <w:t>园</w:t>
      </w:r>
      <w:r>
        <w:rPr>
          <w:rFonts w:hint="eastAsia" w:ascii="Times New Roman" w:hAnsi="Times New Roman" w:eastAsia="宋体" w:cs="Times New Roman"/>
          <w:spacing w:val="0"/>
          <w:kern w:val="0"/>
          <w:sz w:val="24"/>
          <w:szCs w:val="24"/>
          <w:highlight w:val="none"/>
          <w:lang w:val="en-US" w:eastAsia="zh-CN"/>
        </w:rPr>
        <w:t>区所有地点不长期存放垃圾。</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jc w:val="both"/>
        <w:textAlignment w:val="auto"/>
        <w:rPr>
          <w:rFonts w:hint="eastAsia" w:ascii="Times New Roman" w:hAnsi="Times New Roman" w:eastAsia="宋体" w:cs="Times New Roman"/>
          <w:spacing w:val="0"/>
          <w:kern w:val="0"/>
          <w:sz w:val="24"/>
          <w:szCs w:val="24"/>
          <w:highlight w:val="none"/>
          <w:lang w:val="en-US" w:eastAsia="zh-CN"/>
        </w:rPr>
      </w:pPr>
      <w:r>
        <w:rPr>
          <w:rFonts w:hint="eastAsia" w:ascii="Times New Roman" w:hAnsi="Times New Roman" w:eastAsia="宋体" w:cs="Times New Roman"/>
          <w:spacing w:val="0"/>
          <w:kern w:val="0"/>
          <w:sz w:val="24"/>
          <w:szCs w:val="24"/>
          <w:highlight w:val="none"/>
          <w:lang w:val="en-US" w:eastAsia="zh-CN"/>
        </w:rPr>
        <w:t>2.水面卫生:保证水面清洁，对水面漂浮物、水草、周边水生植物及时进行打捞、清除处理。</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p>
    <w:p>
      <w:pPr>
        <w:pageBreakBefore/>
      </w:pPr>
    </w:p>
    <w:p>
      <w:pPr>
        <w:pStyle w:val="27"/>
        <w:keepNext w:val="0"/>
        <w:keepLines w:val="0"/>
        <w:pageBreakBefore w:val="0"/>
        <w:widowControl w:val="0"/>
        <w:numPr>
          <w:ilvl w:val="0"/>
          <w:numId w:val="0"/>
        </w:numPr>
        <w:kinsoku/>
        <w:wordWrap/>
        <w:overflowPunct/>
        <w:topLinePunct w:val="0"/>
        <w:autoSpaceDE/>
        <w:autoSpaceDN/>
        <w:bidi w:val="0"/>
        <w:adjustRightInd/>
        <w:snapToGrid w:val="0"/>
        <w:spacing w:before="260" w:after="260" w:line="360" w:lineRule="auto"/>
        <w:jc w:val="center"/>
        <w:textAlignment w:val="auto"/>
        <w:rPr>
          <w:rFonts w:hint="default" w:ascii="Times New Roman" w:hAnsi="Times New Roman" w:eastAsia="宋体" w:cs="Times New Roman"/>
          <w:b/>
          <w:sz w:val="32"/>
          <w:szCs w:val="32"/>
        </w:rPr>
      </w:pPr>
      <w:r>
        <w:rPr>
          <w:rFonts w:hint="eastAsia" w:ascii="Times New Roman" w:hAnsi="Times New Roman" w:eastAsia="宋体" w:cs="Times New Roman"/>
          <w:b/>
          <w:sz w:val="32"/>
          <w:szCs w:val="32"/>
        </w:rPr>
        <w:t>三、</w:t>
      </w:r>
      <w:r>
        <w:rPr>
          <w:rFonts w:hint="default" w:ascii="Times New Roman" w:hAnsi="Times New Roman" w:eastAsia="宋体" w:cs="Times New Roman"/>
          <w:b/>
          <w:sz w:val="32"/>
          <w:szCs w:val="32"/>
        </w:rPr>
        <w:t>人员配备要求</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945"/>
        <w:gridCol w:w="566"/>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部门</w:t>
            </w:r>
          </w:p>
        </w:tc>
        <w:tc>
          <w:tcPr>
            <w:tcW w:w="1740"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岗位</w:t>
            </w:r>
          </w:p>
        </w:tc>
        <w:tc>
          <w:tcPr>
            <w:tcW w:w="744"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人数</w:t>
            </w:r>
          </w:p>
        </w:tc>
        <w:tc>
          <w:tcPr>
            <w:tcW w:w="4321" w:type="dxa"/>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4"/>
                <w:szCs w:val="24"/>
              </w:rPr>
            </w:pPr>
            <w:bookmarkStart w:id="27" w:name="rypzqy_rypzqy_table_0"/>
            <w:bookmarkEnd w:id="27"/>
            <w:r>
              <w:rPr>
                <w:rFonts w:hint="default" w:ascii="Times New Roman" w:hAnsi="Times New Roman" w:eastAsia="宋体" w:cs="Times New Roman"/>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p>
            <w:r>
              <w:rPr>
                <w:u w:color="auto"/>
              </w:rPr>
              <w:t>园林绿化养护项目部</w:t>
            </w:r>
          </w:p>
        </w:tc>
        <w:tc>
          <w:p>
            <w:r>
              <w:rPr>
                <w:u w:color="auto"/>
              </w:rPr>
              <w:t>项目负责人</w:t>
            </w:r>
          </w:p>
        </w:tc>
        <w:tc>
          <w:p>
            <w:r>
              <w:rPr>
                <w:u w:color="auto"/>
              </w:rPr>
              <w:t>1</w:t>
            </w:r>
          </w:p>
        </w:tc>
        <w:tc>
          <w:p>
            <w:pPr>
              <w:rPr>
                <w:u w:color="auto"/>
              </w:rPr>
            </w:pPr>
            <w:r>
              <w:rPr>
                <w:u w:color="auto"/>
              </w:rPr>
              <w:t>本科及以上学历；</w:t>
            </w:r>
            <w:r>
              <w:rPr>
                <w:rFonts w:hint="eastAsia"/>
                <w:u w:color="auto"/>
              </w:rPr>
              <w:t>具有人社部门或人社部门认可的职称评定委员会颁发的园林绿化相关专业中级及以上职称</w:t>
            </w:r>
            <w:r>
              <w:rPr>
                <w:u w:color="auto"/>
              </w:rPr>
              <w:t>；具有</w:t>
            </w:r>
            <w:r>
              <w:rPr>
                <w:rFonts w:hint="eastAsia"/>
                <w:u w:color="auto"/>
                <w:lang w:val="en-US" w:eastAsia="zh-CN"/>
              </w:rPr>
              <w:t>5年及以上</w:t>
            </w:r>
            <w:r>
              <w:rPr>
                <w:u w:color="auto"/>
              </w:rPr>
              <w:t>绿化养护项目负责人经验。</w:t>
            </w:r>
          </w:p>
          <w:p>
            <w:pPr>
              <w:rPr>
                <w:rFonts w:hint="eastAsia" w:eastAsia="宋体"/>
                <w:u w:color="auto"/>
                <w:lang w:eastAsia="zh-CN"/>
              </w:rPr>
            </w:pPr>
            <w:r>
              <w:rPr>
                <w:rFonts w:hint="eastAsia"/>
                <w:u w:color="auto"/>
                <w:lang w:eastAsia="zh-CN"/>
              </w:rPr>
              <w:t>（以上要求进行评价打分）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p>
            <w:r>
              <w:rPr>
                <w:u w:color="auto"/>
              </w:rPr>
              <w:t>园林绿化养护项目部</w:t>
            </w:r>
          </w:p>
        </w:tc>
        <w:tc>
          <w:p>
            <w:r>
              <w:rPr>
                <w:u w:color="auto"/>
              </w:rPr>
              <w:t>绿化技术负责人</w:t>
            </w:r>
          </w:p>
        </w:tc>
        <w:tc>
          <w:p>
            <w:r>
              <w:rPr>
                <w:u w:color="auto"/>
              </w:rPr>
              <w:t>1</w:t>
            </w:r>
          </w:p>
        </w:tc>
        <w:tc>
          <w:p>
            <w:pPr>
              <w:rPr>
                <w:u w:color="auto"/>
              </w:rPr>
            </w:pPr>
            <w:r>
              <w:rPr>
                <w:u w:color="auto"/>
              </w:rPr>
              <w:t>本科及以上学历；</w:t>
            </w:r>
            <w:r>
              <w:rPr>
                <w:rFonts w:hint="eastAsia"/>
                <w:u w:color="auto"/>
              </w:rPr>
              <w:t>具有人社部门或人社部门认可的职称评定委员会颁发的园林绿化相关专业中级及以上职称</w:t>
            </w:r>
            <w:r>
              <w:rPr>
                <w:u w:color="auto"/>
              </w:rPr>
              <w:t>；具有</w:t>
            </w:r>
            <w:r>
              <w:rPr>
                <w:rFonts w:hint="eastAsia"/>
                <w:u w:color="auto"/>
                <w:lang w:val="en-US" w:eastAsia="zh-CN"/>
              </w:rPr>
              <w:t>5年及以上</w:t>
            </w:r>
            <w:r>
              <w:rPr>
                <w:u w:color="auto"/>
              </w:rPr>
              <w:t>绿化技术</w:t>
            </w:r>
            <w:r>
              <w:rPr>
                <w:rFonts w:hint="eastAsia"/>
                <w:u w:color="auto"/>
                <w:lang w:eastAsia="zh-CN"/>
              </w:rPr>
              <w:t>负责人</w:t>
            </w:r>
            <w:r>
              <w:rPr>
                <w:u w:color="auto"/>
              </w:rPr>
              <w:t>经验。</w:t>
            </w:r>
          </w:p>
          <w:p>
            <w:pPr>
              <w:rPr>
                <w:u w:color="auto"/>
              </w:rPr>
            </w:pPr>
            <w:r>
              <w:rPr>
                <w:rFonts w:hint="eastAsia"/>
                <w:u w:color="auto"/>
                <w:lang w:eastAsia="zh-CN"/>
              </w:rPr>
              <w:t>（以上要求进行评价打分）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p>
            <w:r>
              <w:rPr>
                <w:u w:color="auto"/>
              </w:rPr>
              <w:t>园林绿化养护项目部</w:t>
            </w:r>
          </w:p>
        </w:tc>
        <w:tc>
          <w:p>
            <w:r>
              <w:rPr>
                <w:u w:color="auto"/>
              </w:rPr>
              <w:t>现场养护经理</w:t>
            </w:r>
          </w:p>
        </w:tc>
        <w:tc>
          <w:p>
            <w:r>
              <w:rPr>
                <w:u w:color="auto"/>
              </w:rPr>
              <w:t>1</w:t>
            </w:r>
          </w:p>
        </w:tc>
        <w:tc>
          <w:p>
            <w:pPr>
              <w:rPr>
                <w:u w:color="auto"/>
              </w:rPr>
            </w:pPr>
            <w:r>
              <w:rPr>
                <w:rFonts w:hint="eastAsia"/>
                <w:u w:color="auto"/>
              </w:rPr>
              <w:t>具有人社部门或人社部门认可的职称评定委员会颁发的园林绿化相关专业中级及以上职称</w:t>
            </w:r>
            <w:r>
              <w:rPr>
                <w:u w:color="auto"/>
              </w:rPr>
              <w:t>；具有5年</w:t>
            </w:r>
            <w:r>
              <w:rPr>
                <w:rFonts w:hint="eastAsia"/>
                <w:u w:color="auto"/>
                <w:lang w:eastAsia="zh-CN"/>
              </w:rPr>
              <w:t>及</w:t>
            </w:r>
            <w:r>
              <w:rPr>
                <w:u w:color="auto"/>
              </w:rPr>
              <w:t>以上绿化现场养护</w:t>
            </w:r>
            <w:r>
              <w:rPr>
                <w:rFonts w:hint="eastAsia"/>
                <w:u w:color="auto"/>
                <w:lang w:eastAsia="zh-CN"/>
              </w:rPr>
              <w:t>管理</w:t>
            </w:r>
            <w:r>
              <w:rPr>
                <w:u w:color="auto"/>
              </w:rPr>
              <w:t>经验。</w:t>
            </w:r>
          </w:p>
          <w:p>
            <w:pPr>
              <w:rPr>
                <w:u w:color="auto"/>
              </w:rPr>
            </w:pPr>
            <w:r>
              <w:rPr>
                <w:rFonts w:hint="eastAsia"/>
                <w:u w:color="auto"/>
                <w:lang w:eastAsia="zh-CN"/>
              </w:rPr>
              <w:t>（以上要求进行评价打分）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p>
            <w:r>
              <w:rPr>
                <w:u w:color="auto"/>
              </w:rPr>
              <w:t>园林绿化养护项目部</w:t>
            </w:r>
          </w:p>
        </w:tc>
        <w:tc>
          <w:p>
            <w:r>
              <w:rPr>
                <w:u w:color="auto"/>
              </w:rPr>
              <w:t>绿化养护工</w:t>
            </w:r>
          </w:p>
        </w:tc>
        <w:tc>
          <w:p>
            <w:r>
              <w:rPr>
                <w:u w:color="auto"/>
              </w:rPr>
              <w:t>20</w:t>
            </w:r>
          </w:p>
        </w:tc>
        <w:tc>
          <w:p>
            <w:r>
              <w:rPr>
                <w:u w:color="auto"/>
              </w:rPr>
              <w:t>绿化服务人员要求身体健康，年龄在35至60周岁之间（含60周岁）</w:t>
            </w:r>
            <w:r>
              <w:rPr>
                <w:rFonts w:hint="eastAsia"/>
                <w:u w:color="auto"/>
                <w:lang w:val="en-US" w:eastAsia="zh-CN"/>
              </w:rPr>
              <w:t>,</w:t>
            </w:r>
            <w:r>
              <w:rPr>
                <w:rFonts w:hint="eastAsia" w:ascii="宋体" w:hAnsi="宋体" w:eastAsia="宋体" w:cs="宋体"/>
                <w:lang w:val="en-US" w:eastAsia="en-US" w:bidi="ar-SA"/>
              </w:rPr>
              <w:t>有</w:t>
            </w:r>
            <w:r>
              <w:rPr>
                <w:rFonts w:hint="eastAsia" w:ascii="宋体" w:hAnsi="宋体" w:cs="宋体"/>
                <w:lang w:val="en-US" w:eastAsia="zh-CN" w:bidi="ar-SA"/>
              </w:rPr>
              <w:t>1</w:t>
            </w:r>
            <w:r>
              <w:rPr>
                <w:rFonts w:hint="eastAsia" w:ascii="宋体" w:hAnsi="宋体" w:eastAsia="宋体" w:cs="宋体"/>
                <w:lang w:val="en-US" w:eastAsia="en-US" w:bidi="ar-SA"/>
              </w:rPr>
              <w:t>年以上养护经验，熟练掌握各种植物养护要点，熟练操作各类绿化设备、工具</w:t>
            </w:r>
            <w:r>
              <w:rPr>
                <w:rFonts w:hint="eastAsia" w:ascii="宋体" w:hAnsi="宋体" w:cs="宋体"/>
                <w:lang w:val="en-US" w:eastAsia="zh-CN" w:bidi="ar-SA"/>
              </w:rPr>
              <w:t>。</w:t>
            </w:r>
          </w:p>
        </w:tc>
      </w:tr>
    </w:tbl>
    <w:p>
      <w:pPr>
        <w:pStyle w:val="27"/>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总计：</w:t>
      </w:r>
      <w:bookmarkStart w:id="28" w:name="rypzqy_xyai_xqwj_rypzyq_RYZS_0"/>
      <w:r>
        <w:rPr>
          <w:rFonts w:hint="default" w:ascii="Times New Roman" w:hAnsi="Times New Roman" w:eastAsia="宋体" w:cs="Times New Roman"/>
          <w:sz w:val="24"/>
          <w:szCs w:val="24"/>
        </w:rPr>
        <w:t>23</w:t>
      </w:r>
      <w:bookmarkEnd w:id="28"/>
      <w:r>
        <w:rPr>
          <w:rFonts w:hint="default" w:ascii="Times New Roman" w:hAnsi="Times New Roman" w:eastAsia="宋体" w:cs="Times New Roman"/>
          <w:sz w:val="24"/>
          <w:szCs w:val="24"/>
          <w:lang w:val="en-US" w:eastAsia="zh-CN"/>
        </w:rPr>
        <w:t>人</w:t>
      </w:r>
    </w:p>
    <w:p>
      <w:pPr>
        <w:keepNext w:val="0"/>
        <w:keepLines w:val="0"/>
        <w:widowControl/>
        <w:suppressLineNumbers w:val="0"/>
        <w:jc w:val="left"/>
      </w:pPr>
      <w:r>
        <w:rPr>
          <w:rFonts w:hint="default" w:ascii="Times New Roman" w:hAnsi="Times New Roman" w:eastAsia="宋体" w:cs="Times New Roman"/>
          <w:sz w:val="24"/>
          <w:szCs w:val="24"/>
          <w:lang w:val="en-US" w:eastAsia="zh-CN"/>
        </w:rPr>
        <w:t>备注</w:t>
      </w:r>
      <w:r>
        <w:rPr>
          <w:rFonts w:hint="eastAsia" w:ascii="Times New Roman" w:hAnsi="Times New Roman" w:eastAsia="宋体" w:cs="Times New Roman"/>
          <w:kern w:val="0"/>
          <w:sz w:val="24"/>
          <w:szCs w:val="24"/>
          <w:highlight w:val="none"/>
          <w:lang w:val="en-US" w:eastAsia="zh-CN"/>
        </w:rPr>
        <w:t>：</w:t>
      </w:r>
      <w:bookmarkStart w:id="29" w:name="PO_rypzqy_xyai_xqwj_rypzyq_BEIZ_0"/>
      <w:r>
        <w:rPr>
          <w:rFonts w:hint="eastAsia" w:ascii="Times New Roman" w:hAnsi="Times New Roman" w:eastAsia="宋体" w:cs="Times New Roman"/>
          <w:i w:val="0"/>
          <w:caps w:val="0"/>
          <w:color w:val="1F3149"/>
          <w:spacing w:val="0"/>
          <w:kern w:val="0"/>
          <w:sz w:val="24"/>
          <w:szCs w:val="24"/>
          <w:highlight w:val="none"/>
          <w:shd w:val="clear" w:fill="auto"/>
          <w:lang w:val="en-US" w:eastAsia="zh-CN" w:bidi="ar-SA"/>
        </w:rPr>
        <w:t>.所有人员工资和社会保险的测算须符合北京市人力资源和社会保障局相关规定，人员到手工资不得低于北京市最低工资标准，如享受北京市对于用工人员社保缴纳特殊补贴政策的，需对应具体岗位进行说明。</w:t>
      </w:r>
    </w:p>
    <w:bookmarkEnd w:id="29"/>
    <w:p>
      <w:pPr>
        <w:pStyle w:val="27"/>
        <w:keepNext w:val="0"/>
        <w:keepLines w:val="0"/>
        <w:pageBreakBefore w:val="0"/>
        <w:widowControl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ageBreakBefore/>
      </w:pPr>
    </w:p>
    <w:p>
      <w:pPr>
        <w:pStyle w:val="31"/>
        <w:keepNext w:val="0"/>
        <w:keepLines w:val="0"/>
        <w:pageBreakBefore w:val="0"/>
        <w:widowControl w:val="0"/>
        <w:numPr>
          <w:ilvl w:val="0"/>
          <w:numId w:val="0"/>
        </w:numPr>
        <w:kinsoku/>
        <w:wordWrap/>
        <w:overflowPunct/>
        <w:topLinePunct w:val="0"/>
        <w:autoSpaceDE/>
        <w:autoSpaceDN/>
        <w:bidi w:val="0"/>
        <w:adjustRightInd/>
        <w:snapToGrid/>
        <w:spacing w:before="260" w:after="260" w:line="360" w:lineRule="auto"/>
        <w:ind w:firstLine="642" w:firstLineChars="200"/>
        <w:jc w:val="center"/>
        <w:textAlignment w:val="auto"/>
        <w:rPr>
          <w:rFonts w:hint="default" w:ascii="Times New Roman" w:hAnsi="Times New Roman" w:eastAsia="宋体" w:cs="Times New Roman"/>
          <w:b/>
          <w:bCs/>
          <w:kern w:val="0"/>
          <w:sz w:val="32"/>
          <w:szCs w:val="32"/>
          <w:lang w:eastAsia="zh-CN"/>
        </w:rPr>
      </w:pPr>
      <w:r>
        <w:rPr>
          <w:rFonts w:hint="default" w:ascii="Times New Roman" w:hAnsi="Times New Roman" w:eastAsia="宋体" w:cs="Times New Roman"/>
          <w:b/>
          <w:bCs/>
          <w:kern w:val="0"/>
          <w:sz w:val="32"/>
          <w:szCs w:val="32"/>
          <w:lang w:val="en-US" w:eastAsia="zh-CN"/>
        </w:rPr>
        <w:t>四</w:t>
      </w:r>
      <w:r>
        <w:rPr>
          <w:rFonts w:hint="default" w:ascii="Times New Roman" w:hAnsi="Times New Roman" w:eastAsia="宋体" w:cs="Times New Roman"/>
          <w:b/>
          <w:bCs/>
          <w:kern w:val="0"/>
          <w:sz w:val="32"/>
          <w:szCs w:val="32"/>
          <w:lang w:eastAsia="zh-CN"/>
        </w:rPr>
        <w:t>、</w:t>
      </w:r>
      <w:r>
        <w:rPr>
          <w:rFonts w:hint="default" w:ascii="Times New Roman" w:hAnsi="Times New Roman" w:eastAsia="宋体" w:cs="Times New Roman"/>
          <w:b/>
          <w:bCs/>
          <w:kern w:val="0"/>
          <w:sz w:val="32"/>
          <w:szCs w:val="32"/>
          <w:lang w:val="en-US" w:eastAsia="zh-CN"/>
        </w:rPr>
        <w:t>监督考核</w:t>
      </w:r>
      <w:r>
        <w:rPr>
          <w:rFonts w:hint="default" w:ascii="Times New Roman" w:hAnsi="Times New Roman" w:eastAsia="宋体" w:cs="Times New Roman"/>
          <w:b/>
          <w:bCs/>
          <w:kern w:val="0"/>
          <w:sz w:val="32"/>
          <w:szCs w:val="32"/>
          <w:lang w:eastAsia="zh-CN"/>
        </w:rPr>
        <w:t>要求</w:t>
      </w:r>
    </w:p>
    <w:p>
      <w:pPr>
        <w:pStyle w:val="34"/>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both"/>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lang w:val="en-US" w:eastAsia="zh-CN"/>
        </w:rPr>
        <w:t>1</w:t>
      </w:r>
      <w:r>
        <w:rPr>
          <w:rFonts w:ascii="Times New Roman" w:hAnsi="Times New Roman" w:eastAsia="宋体" w:cs="Times New Roman"/>
          <w:sz w:val="24"/>
          <w:szCs w:val="24"/>
          <w:highlight w:val="none"/>
        </w:rPr>
        <w:t>.</w:t>
      </w:r>
      <w:r>
        <w:rPr>
          <w:rFonts w:ascii="Times New Roman" w:hAnsi="Times New Roman" w:eastAsia="宋体" w:cs="Times New Roman"/>
          <w:sz w:val="24"/>
          <w:szCs w:val="24"/>
          <w:highlight w:val="none"/>
          <w:lang w:val="en-US"/>
        </w:rPr>
        <w:t xml:space="preserve"> </w:t>
      </w:r>
      <w:r>
        <w:rPr>
          <w:rFonts w:ascii="Times New Roman" w:hAnsi="Times New Roman" w:eastAsia="宋体" w:cs="Times New Roman"/>
          <w:sz w:val="24"/>
          <w:szCs w:val="24"/>
          <w:highlight w:val="none"/>
        </w:rPr>
        <w:t>采购人</w:t>
      </w:r>
      <w:r>
        <w:rPr>
          <w:rFonts w:ascii="Times New Roman" w:hAnsi="Times New Roman" w:eastAsia="宋体" w:cs="Times New Roman"/>
          <w:sz w:val="24"/>
          <w:szCs w:val="24"/>
          <w:highlight w:val="none"/>
          <w:lang w:eastAsia="zh-CN"/>
        </w:rPr>
        <w:t>根据采购文件和合同约定对供应商进行监督考核，</w:t>
      </w:r>
      <w:r>
        <w:rPr>
          <w:rFonts w:ascii="Times New Roman" w:hAnsi="Times New Roman" w:eastAsia="宋体" w:cs="Times New Roman"/>
          <w:sz w:val="24"/>
          <w:szCs w:val="24"/>
          <w:highlight w:val="none"/>
        </w:rPr>
        <w:t>供应商须</w:t>
      </w:r>
      <w:r>
        <w:rPr>
          <w:rFonts w:ascii="Times New Roman" w:hAnsi="Times New Roman" w:eastAsia="宋体" w:cs="Times New Roman"/>
          <w:sz w:val="24"/>
          <w:szCs w:val="24"/>
          <w:highlight w:val="none"/>
          <w:lang w:eastAsia="zh-CN"/>
        </w:rPr>
        <w:t>积极</w:t>
      </w:r>
      <w:r>
        <w:rPr>
          <w:rFonts w:ascii="Times New Roman" w:hAnsi="Times New Roman" w:eastAsia="宋体" w:cs="Times New Roman"/>
          <w:sz w:val="24"/>
          <w:szCs w:val="24"/>
          <w:highlight w:val="none"/>
        </w:rPr>
        <w:t>配合。</w:t>
      </w:r>
    </w:p>
    <w:p>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lang w:val="en-US" w:eastAsia="zh-CN"/>
        </w:rPr>
        <w:t>2</w:t>
      </w:r>
      <w:r>
        <w:rPr>
          <w:rFonts w:ascii="Times New Roman" w:hAnsi="Times New Roman" w:eastAsia="宋体" w:cs="Times New Roman"/>
          <w:sz w:val="24"/>
          <w:szCs w:val="24"/>
          <w:highlight w:val="none"/>
        </w:rPr>
        <w:t>.</w:t>
      </w:r>
      <w:r>
        <w:rPr>
          <w:rFonts w:ascii="Times New Roman" w:hAnsi="Times New Roman" w:eastAsia="宋体" w:cs="Times New Roman"/>
          <w:sz w:val="24"/>
          <w:szCs w:val="24"/>
          <w:highlight w:val="none"/>
          <w:lang w:val="en-US"/>
        </w:rPr>
        <w:t xml:space="preserve"> </w:t>
      </w:r>
      <w:r>
        <w:rPr>
          <w:rFonts w:ascii="Times New Roman" w:hAnsi="Times New Roman" w:eastAsia="宋体" w:cs="Times New Roman"/>
          <w:sz w:val="24"/>
          <w:szCs w:val="24"/>
          <w:highlight w:val="none"/>
        </w:rPr>
        <w:t>供应商须</w:t>
      </w:r>
      <w:r>
        <w:rPr>
          <w:rFonts w:ascii="Times New Roman" w:hAnsi="Times New Roman" w:eastAsia="宋体" w:cs="Times New Roman"/>
          <w:sz w:val="24"/>
          <w:szCs w:val="24"/>
          <w:highlight w:val="none"/>
          <w:lang w:eastAsia="zh-CN"/>
        </w:rPr>
        <w:t>按照本项目采购文件要求和响应文件承诺进行履约</w:t>
      </w:r>
      <w:r>
        <w:rPr>
          <w:rFonts w:ascii="Times New Roman" w:hAnsi="Times New Roman" w:eastAsia="宋体" w:cs="Times New Roman"/>
          <w:sz w:val="24"/>
          <w:szCs w:val="24"/>
          <w:highlight w:val="none"/>
        </w:rPr>
        <w:t>，确保服务水准达到采购人要求。</w:t>
      </w:r>
    </w:p>
    <w:p>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lang w:val="en-US" w:eastAsia="zh-CN"/>
        </w:rPr>
        <w:t>3</w:t>
      </w:r>
      <w:r>
        <w:rPr>
          <w:rFonts w:ascii="Times New Roman" w:hAnsi="Times New Roman" w:eastAsia="宋体" w:cs="Times New Roman"/>
          <w:sz w:val="24"/>
          <w:szCs w:val="24"/>
          <w:highlight w:val="none"/>
        </w:rPr>
        <w:t>.</w:t>
      </w:r>
      <w:r>
        <w:rPr>
          <w:rFonts w:ascii="Times New Roman" w:hAnsi="Times New Roman" w:eastAsia="宋体" w:cs="Times New Roman"/>
          <w:sz w:val="24"/>
          <w:szCs w:val="24"/>
          <w:highlight w:val="none"/>
          <w:lang w:val="en-US"/>
        </w:rPr>
        <w:t xml:space="preserve"> </w:t>
      </w:r>
      <w:r>
        <w:rPr>
          <w:rFonts w:ascii="Times New Roman" w:hAnsi="Times New Roman" w:eastAsia="宋体" w:cs="Times New Roman"/>
          <w:sz w:val="24"/>
          <w:szCs w:val="24"/>
          <w:highlight w:val="none"/>
        </w:rPr>
        <w:t>供应商须按照合同约定人数，对人员进行考勤管理，定期向采购人报告人员情况，接受采购人检查。</w:t>
      </w:r>
    </w:p>
    <w:p>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lang w:val="en-US" w:eastAsia="zh-CN"/>
        </w:rPr>
        <w:t>4</w:t>
      </w:r>
      <w:r>
        <w:rPr>
          <w:rFonts w:ascii="Times New Roman" w:hAnsi="Times New Roman" w:eastAsia="宋体" w:cs="Times New Roman"/>
          <w:sz w:val="24"/>
          <w:szCs w:val="24"/>
          <w:highlight w:val="none"/>
        </w:rPr>
        <w:t>.</w:t>
      </w:r>
      <w:r>
        <w:rPr>
          <w:rFonts w:ascii="Times New Roman" w:hAnsi="Times New Roman" w:eastAsia="宋体" w:cs="Times New Roman"/>
          <w:sz w:val="24"/>
          <w:szCs w:val="24"/>
          <w:highlight w:val="none"/>
          <w:lang w:val="en-US"/>
        </w:rPr>
        <w:t xml:space="preserve"> </w:t>
      </w:r>
      <w:r>
        <w:rPr>
          <w:rFonts w:ascii="Times New Roman" w:hAnsi="Times New Roman" w:eastAsia="宋体" w:cs="Times New Roman"/>
          <w:sz w:val="24"/>
          <w:szCs w:val="24"/>
          <w:highlight w:val="none"/>
        </w:rPr>
        <w:t>供应商不得以采购人的任何名义从事经营等其他活动,不得将本项目约定履行的工作内容整体或分包给第三方完成，若供应商确需第三方提供专项服务，第三方提供服务期间劳动关系及安全生产责任由供应商全权负责。本项目服务人员不得在其他项目兼职。</w:t>
      </w:r>
    </w:p>
    <w:p>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lang w:val="en-US" w:eastAsia="zh-CN"/>
        </w:rPr>
        <w:t>5</w:t>
      </w:r>
      <w:r>
        <w:rPr>
          <w:rFonts w:ascii="Times New Roman" w:hAnsi="Times New Roman" w:eastAsia="宋体" w:cs="Times New Roman"/>
          <w:sz w:val="24"/>
          <w:szCs w:val="24"/>
          <w:highlight w:val="none"/>
        </w:rPr>
        <w:t>.</w:t>
      </w:r>
      <w:r>
        <w:rPr>
          <w:rFonts w:ascii="Times New Roman" w:hAnsi="Times New Roman" w:eastAsia="宋体" w:cs="Times New Roman"/>
          <w:sz w:val="24"/>
          <w:szCs w:val="24"/>
          <w:highlight w:val="none"/>
          <w:lang w:val="en-US"/>
        </w:rPr>
        <w:t xml:space="preserve"> </w:t>
      </w:r>
      <w:r>
        <w:rPr>
          <w:rFonts w:ascii="Times New Roman" w:hAnsi="Times New Roman" w:eastAsia="宋体" w:cs="Times New Roman"/>
          <w:sz w:val="24"/>
          <w:szCs w:val="24"/>
          <w:highlight w:val="none"/>
        </w:rPr>
        <w:t>供应商所属人员如出现任何事故及法律风险，相关责任由供应商自行承担。</w:t>
      </w:r>
    </w:p>
    <w:p>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lang w:val="en-US" w:eastAsia="zh-CN"/>
        </w:rPr>
        <w:t>6</w:t>
      </w:r>
      <w:r>
        <w:rPr>
          <w:rFonts w:ascii="Times New Roman" w:hAnsi="Times New Roman" w:eastAsia="宋体" w:cs="Times New Roman"/>
          <w:sz w:val="24"/>
          <w:szCs w:val="24"/>
          <w:highlight w:val="none"/>
        </w:rPr>
        <w:t>.</w:t>
      </w:r>
      <w:r>
        <w:rPr>
          <w:rFonts w:ascii="Times New Roman" w:hAnsi="Times New Roman" w:eastAsia="宋体" w:cs="Times New Roman"/>
          <w:sz w:val="24"/>
          <w:szCs w:val="24"/>
          <w:highlight w:val="none"/>
          <w:lang w:val="en-US"/>
        </w:rPr>
        <w:t xml:space="preserve"> </w:t>
      </w:r>
      <w:r>
        <w:rPr>
          <w:rFonts w:ascii="Times New Roman" w:hAnsi="Times New Roman" w:eastAsia="宋体" w:cs="Times New Roman"/>
          <w:sz w:val="24"/>
          <w:szCs w:val="24"/>
          <w:highlight w:val="none"/>
        </w:rPr>
        <w:t>采购人对服务保障不</w:t>
      </w:r>
      <w:r>
        <w:rPr>
          <w:rFonts w:ascii="Times New Roman" w:hAnsi="Times New Roman" w:eastAsia="宋体" w:cs="Times New Roman"/>
          <w:sz w:val="24"/>
          <w:szCs w:val="24"/>
          <w:highlight w:val="none"/>
          <w:lang w:eastAsia="zh-CN"/>
        </w:rPr>
        <w:t>到位</w:t>
      </w:r>
      <w:r>
        <w:rPr>
          <w:rFonts w:ascii="Times New Roman" w:hAnsi="Times New Roman" w:eastAsia="宋体" w:cs="Times New Roman"/>
          <w:sz w:val="24"/>
          <w:szCs w:val="24"/>
          <w:highlight w:val="none"/>
        </w:rPr>
        <w:t>、责任心不强或出现明显失误造成负面影响的员工，有权提出调整工作岗位或更换人员，供应商必须按采购人要求在3</w:t>
      </w:r>
      <w:r>
        <w:rPr>
          <w:rFonts w:ascii="Times New Roman" w:hAnsi="Times New Roman" w:eastAsia="宋体" w:cs="Times New Roman"/>
          <w:sz w:val="24"/>
          <w:szCs w:val="24"/>
          <w:highlight w:val="none"/>
          <w:u w:val="single"/>
        </w:rPr>
        <w:t>日</w:t>
      </w:r>
      <w:r>
        <w:rPr>
          <w:rFonts w:ascii="Times New Roman" w:hAnsi="Times New Roman" w:eastAsia="宋体" w:cs="Times New Roman"/>
          <w:sz w:val="24"/>
          <w:szCs w:val="24"/>
          <w:highlight w:val="none"/>
        </w:rPr>
        <w:t>内调整完毕。</w:t>
      </w:r>
    </w:p>
    <w:p>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lang w:val="en-US" w:eastAsia="zh-CN"/>
        </w:rPr>
        <w:t>7</w:t>
      </w:r>
      <w:r>
        <w:rPr>
          <w:rFonts w:ascii="Times New Roman" w:hAnsi="Times New Roman" w:eastAsia="宋体" w:cs="Times New Roman"/>
          <w:sz w:val="24"/>
          <w:szCs w:val="24"/>
          <w:highlight w:val="none"/>
        </w:rPr>
        <w:t>.</w:t>
      </w:r>
      <w:r>
        <w:rPr>
          <w:rFonts w:ascii="Times New Roman" w:hAnsi="Times New Roman" w:eastAsia="宋体" w:cs="Times New Roman"/>
          <w:sz w:val="24"/>
          <w:szCs w:val="24"/>
          <w:highlight w:val="none"/>
          <w:lang w:val="en-US"/>
        </w:rPr>
        <w:t xml:space="preserve"> </w:t>
      </w:r>
      <w:r>
        <w:rPr>
          <w:rFonts w:ascii="Times New Roman" w:hAnsi="Times New Roman" w:eastAsia="宋体" w:cs="Times New Roman"/>
          <w:sz w:val="24"/>
          <w:szCs w:val="24"/>
          <w:highlight w:val="none"/>
        </w:rPr>
        <w:t>采购人对供应商主管及以上岗位员工、重要工作岗位员工审核把关，采购人同意后方可办理入职离职。如有人员变动，空缺岗位应在</w:t>
      </w:r>
      <w:r>
        <w:rPr>
          <w:rFonts w:ascii="Times New Roman" w:hAnsi="Times New Roman" w:eastAsia="宋体" w:cs="Times New Roman"/>
          <w:sz w:val="24"/>
          <w:szCs w:val="24"/>
          <w:highlight w:val="none"/>
          <w:u w:val="single"/>
        </w:rPr>
        <w:t>3日</w:t>
      </w:r>
      <w:r>
        <w:rPr>
          <w:rFonts w:ascii="Times New Roman" w:hAnsi="Times New Roman" w:eastAsia="宋体" w:cs="Times New Roman"/>
          <w:sz w:val="24"/>
          <w:szCs w:val="24"/>
          <w:highlight w:val="none"/>
        </w:rPr>
        <w:t>内补齐同等资质服务人员。</w:t>
      </w:r>
    </w:p>
    <w:p>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lang w:val="en-US" w:eastAsia="zh-CN"/>
        </w:rPr>
        <w:t>8</w:t>
      </w:r>
      <w:r>
        <w:rPr>
          <w:rFonts w:ascii="Times New Roman" w:hAnsi="Times New Roman" w:eastAsia="宋体" w:cs="Times New Roman"/>
          <w:sz w:val="24"/>
          <w:szCs w:val="24"/>
          <w:highlight w:val="none"/>
        </w:rPr>
        <w:t>.</w:t>
      </w:r>
      <w:r>
        <w:rPr>
          <w:rFonts w:ascii="Times New Roman" w:hAnsi="Times New Roman" w:eastAsia="宋体" w:cs="Times New Roman"/>
          <w:sz w:val="24"/>
          <w:szCs w:val="24"/>
          <w:highlight w:val="none"/>
          <w:lang w:val="en-US"/>
        </w:rPr>
        <w:t xml:space="preserve"> </w:t>
      </w:r>
      <w:r>
        <w:rPr>
          <w:rFonts w:ascii="Times New Roman" w:hAnsi="Times New Roman" w:eastAsia="宋体" w:cs="Times New Roman"/>
          <w:sz w:val="24"/>
          <w:szCs w:val="24"/>
          <w:highlight w:val="none"/>
        </w:rPr>
        <w:t>采购人对供应商提供的</w:t>
      </w:r>
      <w:r>
        <w:rPr>
          <w:rFonts w:ascii="Times New Roman" w:hAnsi="Times New Roman" w:eastAsia="宋体" w:cs="Times New Roman"/>
          <w:sz w:val="24"/>
          <w:szCs w:val="24"/>
          <w:highlight w:val="none"/>
          <w:lang w:eastAsia="zh-CN"/>
        </w:rPr>
        <w:t>低值</w:t>
      </w:r>
      <w:r>
        <w:rPr>
          <w:rFonts w:ascii="Times New Roman" w:hAnsi="Times New Roman" w:eastAsia="宋体" w:cs="Times New Roman"/>
          <w:sz w:val="24"/>
          <w:szCs w:val="24"/>
          <w:highlight w:val="none"/>
        </w:rPr>
        <w:t>易耗品质量进行监管检查，对不符合采购人要求的，供应商须及时进行更换；</w:t>
      </w:r>
    </w:p>
    <w:p>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lang w:val="en-US" w:eastAsia="zh-CN"/>
        </w:rPr>
        <w:t>9</w:t>
      </w:r>
      <w:r>
        <w:rPr>
          <w:rFonts w:ascii="Times New Roman" w:hAnsi="Times New Roman" w:eastAsia="宋体" w:cs="Times New Roman"/>
          <w:sz w:val="24"/>
          <w:szCs w:val="24"/>
          <w:highlight w:val="none"/>
        </w:rPr>
        <w:t>.</w:t>
      </w:r>
      <w:r>
        <w:rPr>
          <w:rFonts w:ascii="Times New Roman" w:hAnsi="Times New Roman" w:eastAsia="宋体" w:cs="Times New Roman"/>
          <w:sz w:val="24"/>
          <w:szCs w:val="24"/>
          <w:highlight w:val="none"/>
          <w:lang w:val="en-US"/>
        </w:rPr>
        <w:t xml:space="preserve"> </w:t>
      </w:r>
      <w:r>
        <w:rPr>
          <w:rFonts w:ascii="Times New Roman" w:hAnsi="Times New Roman" w:eastAsia="宋体" w:cs="Times New Roman"/>
          <w:sz w:val="24"/>
          <w:szCs w:val="24"/>
          <w:highlight w:val="none"/>
        </w:rPr>
        <w:t>如检查中发现供应商服务质量达不到合同约定，或收到有效投诉，供应商须支付违约金。</w:t>
      </w:r>
    </w:p>
    <w:p>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lang w:val="en-US" w:eastAsia="zh-CN"/>
        </w:rPr>
        <w:t>10</w:t>
      </w:r>
      <w:r>
        <w:rPr>
          <w:rFonts w:ascii="Times New Roman" w:hAnsi="Times New Roman" w:eastAsia="宋体" w:cs="Times New Roman"/>
          <w:sz w:val="24"/>
          <w:szCs w:val="24"/>
          <w:highlight w:val="none"/>
        </w:rPr>
        <w:t>.</w:t>
      </w:r>
      <w:r>
        <w:rPr>
          <w:rFonts w:ascii="Times New Roman" w:hAnsi="Times New Roman" w:eastAsia="宋体" w:cs="Times New Roman"/>
          <w:sz w:val="24"/>
          <w:szCs w:val="24"/>
          <w:highlight w:val="none"/>
          <w:lang w:val="en-US"/>
        </w:rPr>
        <w:t xml:space="preserve"> </w:t>
      </w:r>
      <w:r>
        <w:rPr>
          <w:rFonts w:ascii="Times New Roman" w:hAnsi="Times New Roman" w:eastAsia="宋体" w:cs="Times New Roman"/>
          <w:sz w:val="24"/>
          <w:szCs w:val="24"/>
          <w:highlight w:val="none"/>
        </w:rPr>
        <w:t>供应商未按合同约定，违反相关纪律及安全生产要求等，对采购人造成不良影响或经济损失，供应商负责赔偿，采购人有权根据影响范围、损害程度等扣除成交供应商相应服务费、追究相关责任、并有权终止合同。</w:t>
      </w:r>
    </w:p>
    <w:p>
      <w:pPr>
        <w:pStyle w:val="3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lang w:val="en-US" w:eastAsia="zh-CN"/>
        </w:rPr>
        <w:t>11</w:t>
      </w:r>
      <w:r>
        <w:rPr>
          <w:rFonts w:ascii="Times New Roman" w:hAnsi="Times New Roman" w:eastAsia="宋体" w:cs="Times New Roman"/>
          <w:sz w:val="24"/>
          <w:szCs w:val="24"/>
          <w:highlight w:val="none"/>
        </w:rPr>
        <w:t>.</w:t>
      </w:r>
      <w:r>
        <w:rPr>
          <w:rFonts w:ascii="Times New Roman" w:hAnsi="Times New Roman" w:eastAsia="宋体" w:cs="Times New Roman"/>
          <w:sz w:val="24"/>
          <w:szCs w:val="24"/>
          <w:highlight w:val="none"/>
          <w:lang w:val="en-US"/>
        </w:rPr>
        <w:t xml:space="preserve"> </w:t>
      </w:r>
      <w:r>
        <w:rPr>
          <w:rFonts w:ascii="Times New Roman" w:hAnsi="Times New Roman" w:eastAsia="宋体" w:cs="Times New Roman"/>
          <w:sz w:val="24"/>
          <w:szCs w:val="24"/>
          <w:highlight w:val="none"/>
        </w:rPr>
        <w:t>采购人对供应商入职及到岗人数进行监管，如发现供应商到岗人数未满足要求，在费用结算时，按照当年北京市平均工资人力成本据实进行核减。如遇突发不可抗力原因，</w:t>
      </w:r>
      <w:r>
        <w:rPr>
          <w:rFonts w:ascii="Times New Roman" w:hAnsi="Times New Roman" w:eastAsia="宋体" w:cs="Times New Roman"/>
          <w:sz w:val="24"/>
          <w:szCs w:val="24"/>
          <w:highlight w:val="none"/>
          <w:lang w:eastAsia="zh-CN"/>
        </w:rPr>
        <w:t>双方协商后</w:t>
      </w:r>
      <w:r>
        <w:rPr>
          <w:rFonts w:ascii="Times New Roman" w:hAnsi="Times New Roman" w:eastAsia="宋体" w:cs="Times New Roman"/>
          <w:sz w:val="24"/>
          <w:szCs w:val="24"/>
          <w:highlight w:val="none"/>
        </w:rPr>
        <w:t>进行结算。</w:t>
      </w:r>
    </w:p>
    <w:p>
      <w:pPr>
        <w:pStyle w:val="31"/>
        <w:spacing w:line="560" w:lineRule="exact"/>
        <w:ind w:firstLine="480" w:firstLineChars="200"/>
        <w:jc w:val="left"/>
        <w:rPr>
          <w:rFonts w:hint="default" w:ascii="Times New Roman" w:hAnsi="Times New Roman" w:eastAsia="宋体" w:cs="Times New Roman"/>
          <w:sz w:val="24"/>
          <w:szCs w:val="24"/>
          <w:highlight w:val="none"/>
          <w:lang w:val="en-US" w:eastAsia="zh-CN" w:bidi="ar-SA"/>
        </w:rPr>
      </w:pPr>
      <w:r>
        <w:rPr>
          <w:rFonts w:hint="eastAsia" w:ascii="宋体" w:hAnsi="宋体" w:cs="仿宋"/>
          <w:b/>
          <w:bCs/>
          <w:sz w:val="24"/>
          <w:highlight w:val="none"/>
        </w:rPr>
        <w:t>12</w:t>
      </w:r>
      <w:r>
        <w:rPr>
          <w:rFonts w:hint="default" w:ascii="Times New Roman" w:hAnsi="Times New Roman" w:eastAsia="宋体" w:cs="Times New Roman"/>
          <w:sz w:val="24"/>
          <w:szCs w:val="24"/>
          <w:highlight w:val="none"/>
          <w:lang w:val="en-US" w:eastAsia="zh-CN" w:bidi="ar-SA"/>
        </w:rPr>
        <w:t>其他要求</w:t>
      </w:r>
    </w:p>
    <w:p>
      <w:pPr>
        <w:pStyle w:val="31"/>
        <w:spacing w:line="360" w:lineRule="auto"/>
        <w:ind w:firstLine="480" w:firstLineChars="200"/>
        <w:jc w:val="left"/>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供应商必须保证员工队伍的稳定性，绿化服务人员配置不得擅自进行调整。如需调整，应至少提前3天以书面形式将调整人员信息上报给采购人。项目经理和技术负责人须与中标文件中人员一致，应为专职固定人员，便于与采购人进行服务沟通，确保后续的服务质量。如遇特殊情况需要更换项目经理或技术负责人，供应商需提前一个月以书面形式提出申请，在符合用人条件的前提下，新旧人员应做好工作交接，确保绿化养护工作的持续推进和高质量开展。</w:t>
      </w:r>
    </w:p>
    <w:p>
      <w:pPr>
        <w:pStyle w:val="31"/>
        <w:spacing w:line="360" w:lineRule="auto"/>
        <w:ind w:firstLine="480" w:firstLineChars="200"/>
        <w:jc w:val="left"/>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12.1检查考核小组构成与职责</w:t>
      </w:r>
    </w:p>
    <w:p>
      <w:pPr>
        <w:pStyle w:val="31"/>
        <w:spacing w:line="360" w:lineRule="auto"/>
        <w:ind w:firstLine="480" w:firstLineChars="200"/>
        <w:jc w:val="left"/>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构成：采购人委派2-3人组成考核小组。供应商委派1-2人（含项目负责人）配合考核小组考核。</w:t>
      </w:r>
    </w:p>
    <w:p>
      <w:pPr>
        <w:pStyle w:val="31"/>
        <w:spacing w:line="360" w:lineRule="auto"/>
        <w:ind w:firstLine="480" w:firstLineChars="200"/>
        <w:jc w:val="left"/>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职责：依据《城镇绿地养护技术规范》（DB11/T213-2022）中特级养护质量标准的规定要求，定期和不定期对园内绿化情况进行检查。</w:t>
      </w:r>
    </w:p>
    <w:p>
      <w:pPr>
        <w:pStyle w:val="31"/>
        <w:spacing w:line="360" w:lineRule="auto"/>
        <w:ind w:firstLine="480" w:firstLineChars="200"/>
        <w:jc w:val="left"/>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12.2.检查考核频次</w:t>
      </w:r>
    </w:p>
    <w:p>
      <w:pPr>
        <w:pStyle w:val="31"/>
        <w:spacing w:line="360" w:lineRule="auto"/>
        <w:ind w:firstLine="480" w:firstLineChars="200"/>
        <w:jc w:val="left"/>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供应商依据养护方案，每周上报养护内容，采购人主管部门依据内容，每周进行不定时检查，检查结果如有问题将以书面形式告知项目经理，并要求限期整改。检查结果一式两份，双方确认签字后各留存一份。每个月月末由考核小组进行1次绿化服务考核，并按照实际情况填写《园林绿化养护月度考核表》。</w:t>
      </w:r>
    </w:p>
    <w:p>
      <w:pPr>
        <w:pStyle w:val="31"/>
        <w:spacing w:line="360" w:lineRule="auto"/>
        <w:ind w:firstLine="480" w:firstLineChars="200"/>
        <w:jc w:val="left"/>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12.3.检查考核流程</w:t>
      </w:r>
    </w:p>
    <w:p>
      <w:pPr>
        <w:pStyle w:val="31"/>
        <w:spacing w:line="360" w:lineRule="auto"/>
        <w:ind w:firstLine="480" w:firstLineChars="200"/>
        <w:jc w:val="left"/>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每月下旬考核小组依据《城镇绿地养护技术规范》（DB11/T213-2022）中特级养护质量标准的规定要求，对园内绿化服务范围内的各项目情况进行全面的检查和打分，并按照实际情况填写《园林绿化养护月度考核表》，该表的最终结果将作为检查当月的考核评定以及付款依据。</w:t>
      </w:r>
    </w:p>
    <w:p>
      <w:pPr>
        <w:pStyle w:val="31"/>
        <w:spacing w:line="360" w:lineRule="auto"/>
        <w:ind w:firstLine="480" w:firstLineChars="200"/>
        <w:jc w:val="left"/>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12.4.检查考核内容</w:t>
      </w:r>
    </w:p>
    <w:p>
      <w:pPr>
        <w:pStyle w:val="31"/>
        <w:spacing w:line="360" w:lineRule="auto"/>
        <w:ind w:firstLine="480" w:firstLineChars="200"/>
        <w:jc w:val="left"/>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绿化服务考核涵盖成活率、保存率、生长势、修剪、抹芽、病虫害防治、除草、松土、施肥、抗旱、防寒、防风、排涝、布置、补栽、养护、管理、安全及质量管控、文明施工等服务项目。</w:t>
      </w:r>
    </w:p>
    <w:p>
      <w:pPr>
        <w:pStyle w:val="31"/>
        <w:spacing w:line="360" w:lineRule="auto"/>
        <w:ind w:firstLine="480" w:firstLineChars="200"/>
        <w:jc w:val="left"/>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12.5.月度考核与费用的支付</w:t>
      </w:r>
    </w:p>
    <w:p>
      <w:pPr>
        <w:pStyle w:val="31"/>
        <w:spacing w:line="360" w:lineRule="auto"/>
        <w:ind w:firstLine="480" w:firstLineChars="200"/>
        <w:jc w:val="left"/>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采购人根据每月的考核结果对供应商的工作进行监督、检查和指导。月考核结果与当月支付费用挂钩，按照A级-C级评定等级进行支付。</w:t>
      </w:r>
    </w:p>
    <w:p>
      <w:pPr>
        <w:pStyle w:val="31"/>
        <w:spacing w:line="360" w:lineRule="auto"/>
        <w:ind w:firstLine="480" w:firstLineChars="200"/>
        <w:jc w:val="left"/>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A级：服务质量考核得分为90分（含）以上，</w:t>
      </w:r>
      <w:r>
        <w:rPr>
          <w:rFonts w:hint="eastAsia" w:ascii="Times New Roman" w:hAnsi="Times New Roman" w:eastAsia="宋体" w:cs="Times New Roman"/>
          <w:sz w:val="24"/>
          <w:szCs w:val="24"/>
          <w:highlight w:val="none"/>
          <w:lang w:val="en-US" w:eastAsia="zh-CN" w:bidi="ar-SA"/>
        </w:rPr>
        <w:t>考核合格，</w:t>
      </w:r>
      <w:r>
        <w:rPr>
          <w:rFonts w:hint="default" w:ascii="Times New Roman" w:hAnsi="Times New Roman" w:eastAsia="宋体" w:cs="Times New Roman"/>
          <w:sz w:val="24"/>
          <w:szCs w:val="24"/>
          <w:highlight w:val="none"/>
          <w:lang w:val="en-US" w:eastAsia="zh-CN" w:bidi="ar-SA"/>
        </w:rPr>
        <w:t>全额支付当月应付的“养护费用”金额；</w:t>
      </w:r>
    </w:p>
    <w:p>
      <w:pPr>
        <w:pStyle w:val="31"/>
        <w:spacing w:line="360" w:lineRule="auto"/>
        <w:ind w:firstLine="480" w:firstLineChars="200"/>
        <w:jc w:val="left"/>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B级：服务质量考核得分为80分-89分，扣除当月应付“养护费用”金额10%；</w:t>
      </w:r>
    </w:p>
    <w:p>
      <w:pPr>
        <w:pStyle w:val="31"/>
        <w:spacing w:line="360" w:lineRule="auto"/>
        <w:ind w:firstLine="480" w:firstLineChars="200"/>
        <w:jc w:val="left"/>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C级：服务质量考核得分为79分（不含）以下，扣除当月应付“养护费用”金额20%；</w:t>
      </w:r>
    </w:p>
    <w:p>
      <w:pPr>
        <w:pStyle w:val="31"/>
        <w:pageBreakBefore w:val="0"/>
        <w:widowControl/>
        <w:spacing w:line="360" w:lineRule="auto"/>
        <w:ind w:firstLine="480" w:firstLineChars="200"/>
        <w:jc w:val="left"/>
        <w:rPr>
          <w:rFonts w:hint="default" w:ascii="Times New Roman" w:hAnsi="Times New Roman" w:eastAsia="宋体" w:cs="Times New Roman"/>
          <w:sz w:val="24"/>
          <w:szCs w:val="24"/>
          <w:highlight w:val="none"/>
          <w:lang w:val="en-US" w:eastAsia="zh-CN" w:bidi="ar-SA"/>
        </w:rPr>
      </w:pPr>
      <w:r>
        <w:rPr>
          <w:rFonts w:hint="default" w:ascii="Times New Roman" w:hAnsi="Times New Roman" w:eastAsia="宋体" w:cs="Times New Roman"/>
          <w:sz w:val="24"/>
          <w:szCs w:val="24"/>
          <w:highlight w:val="none"/>
          <w:lang w:val="en-US" w:eastAsia="zh-CN" w:bidi="ar-SA"/>
        </w:rPr>
        <w:t>采购人采用月考核，按期结算方式支付绿化服务费用。月考核满分为100分，若月考核累计三个月得分低于79分，采购人将对供应商予以处罚并解除合同。</w:t>
      </w:r>
    </w:p>
    <w:p>
      <w:pPr>
        <w:pStyle w:val="3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bidi="ar-SA"/>
        </w:rPr>
      </w:pPr>
    </w:p>
    <w:p>
      <w:pPr>
        <w:pageBreakBefore/>
      </w:pPr>
    </w:p>
    <w:p>
      <w:pPr>
        <w:pStyle w:val="39"/>
        <w:keepNext w:val="0"/>
        <w:keepLines w:val="0"/>
        <w:pageBreakBefore w:val="0"/>
        <w:widowControl w:val="0"/>
        <w:kinsoku/>
        <w:wordWrap/>
        <w:overflowPunct/>
        <w:topLinePunct w:val="0"/>
        <w:autoSpaceDE/>
        <w:autoSpaceDN/>
        <w:bidi w:val="0"/>
        <w:adjustRightInd/>
        <w:snapToGrid/>
        <w:spacing w:before="260" w:after="260" w:line="360" w:lineRule="auto"/>
        <w:ind w:firstLine="642" w:firstLineChars="200"/>
        <w:jc w:val="center"/>
        <w:textAlignment w:val="auto"/>
        <w:rPr>
          <w:rFonts w:hint="default" w:ascii="Times New Roman" w:hAnsi="Times New Roman" w:eastAsia="宋体" w:cs="Times New Roman"/>
          <w:b w:val="0"/>
          <w:bCs w:val="0"/>
          <w:sz w:val="32"/>
          <w:szCs w:val="32"/>
        </w:rPr>
      </w:pPr>
      <w:r>
        <w:rPr>
          <w:rFonts w:hint="default" w:ascii="Times New Roman" w:hAnsi="Times New Roman" w:eastAsia="宋体" w:cs="Times New Roman"/>
          <w:b/>
          <w:bCs/>
          <w:sz w:val="32"/>
          <w:szCs w:val="32"/>
          <w:lang w:eastAsia="zh-CN"/>
        </w:rPr>
        <w:t>五</w:t>
      </w:r>
      <w:r>
        <w:rPr>
          <w:rFonts w:hint="default" w:ascii="Times New Roman" w:hAnsi="Times New Roman" w:eastAsia="宋体" w:cs="Times New Roman"/>
          <w:b/>
          <w:bCs/>
          <w:sz w:val="32"/>
          <w:szCs w:val="32"/>
        </w:rPr>
        <w:t>、</w:t>
      </w:r>
      <w:r>
        <w:rPr>
          <w:rFonts w:hint="default" w:ascii="Times New Roman" w:hAnsi="Times New Roman" w:eastAsia="宋体" w:cs="Times New Roman"/>
          <w:b/>
          <w:bCs/>
          <w:sz w:val="32"/>
          <w:szCs w:val="32"/>
          <w:lang w:eastAsia="zh-CN"/>
        </w:rPr>
        <w:t>方案</w:t>
      </w:r>
      <w:r>
        <w:rPr>
          <w:rFonts w:hint="default" w:ascii="Times New Roman" w:hAnsi="Times New Roman" w:eastAsia="宋体" w:cs="Times New Roman"/>
          <w:b/>
          <w:bCs/>
          <w:sz w:val="32"/>
          <w:szCs w:val="32"/>
        </w:rPr>
        <w:t>要求</w:t>
      </w:r>
    </w:p>
    <w:p>
      <w:pPr>
        <w:pStyle w:val="40"/>
        <w:keepNext w:val="0"/>
        <w:keepLines w:val="0"/>
        <w:pageBreakBefore w:val="0"/>
        <w:widowControl w:val="0"/>
        <w:kinsoku/>
        <w:wordWrap/>
        <w:overflowPunct/>
        <w:topLinePunct w:val="0"/>
        <w:autoSpaceDE/>
        <w:autoSpaceDN/>
        <w:bidi w:val="0"/>
        <w:adjustRightInd/>
        <w:snapToGrid/>
        <w:spacing w:before="260" w:after="260" w:line="360" w:lineRule="auto"/>
        <w:ind w:firstLine="481" w:firstLineChars="200"/>
        <w:jc w:val="left"/>
        <w:textAlignment w:val="auto"/>
        <w:rPr>
          <w:rFonts w:ascii="Times New Roman" w:hAnsi="Times New Roman" w:eastAsia="宋体" w:cs="Times New Roman"/>
          <w:b/>
          <w:bCs w:val="0"/>
          <w:sz w:val="24"/>
          <w:szCs w:val="24"/>
          <w:highlight w:val="none"/>
        </w:rPr>
      </w:pPr>
      <w:r>
        <w:rPr>
          <w:rFonts w:ascii="Times New Roman" w:hAnsi="Times New Roman" w:eastAsia="宋体" w:cs="Times New Roman"/>
          <w:b/>
          <w:bCs w:val="0"/>
          <w:sz w:val="24"/>
          <w:szCs w:val="24"/>
          <w:highlight w:val="none"/>
        </w:rPr>
        <w:t>●</w:t>
      </w:r>
      <w:r>
        <w:rPr>
          <w:rFonts w:ascii="Times New Roman" w:hAnsi="Times New Roman" w:eastAsia="宋体" w:cs="Times New Roman"/>
          <w:b/>
          <w:bCs w:val="0"/>
          <w:sz w:val="24"/>
          <w:szCs w:val="24"/>
          <w:highlight w:val="none"/>
          <w:lang w:val="en-US"/>
        </w:rPr>
        <w:t xml:space="preserve"> </w:t>
      </w:r>
      <w:r>
        <w:rPr>
          <w:rFonts w:ascii="Times New Roman" w:hAnsi="Times New Roman" w:eastAsia="宋体" w:cs="Times New Roman"/>
          <w:b/>
          <w:bCs w:val="0"/>
          <w:sz w:val="24"/>
          <w:szCs w:val="24"/>
          <w:highlight w:val="none"/>
          <w:lang w:eastAsia="zh-CN"/>
        </w:rPr>
        <w:t>项目实施</w:t>
      </w:r>
      <w:r>
        <w:rPr>
          <w:rFonts w:ascii="Times New Roman" w:hAnsi="Times New Roman" w:eastAsia="宋体" w:cs="Times New Roman"/>
          <w:b/>
          <w:bCs w:val="0"/>
          <w:sz w:val="24"/>
          <w:szCs w:val="24"/>
          <w:highlight w:val="none"/>
        </w:rPr>
        <w:t>方案</w:t>
      </w:r>
    </w:p>
    <w:p>
      <w:pPr>
        <w:pStyle w:val="40"/>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Times New Roman" w:hAnsi="Times New Roman" w:eastAsia="宋体" w:cs="Times New Roman"/>
          <w:b w:val="0"/>
          <w:bCs w:val="0"/>
          <w:sz w:val="24"/>
          <w:szCs w:val="24"/>
          <w:highlight w:val="none"/>
          <w:lang w:val="en-US" w:eastAsia="zh-CN"/>
        </w:rPr>
      </w:pPr>
      <w:r>
        <w:rPr>
          <w:rFonts w:ascii="Times New Roman" w:hAnsi="Times New Roman" w:eastAsia="宋体" w:cs="Times New Roman"/>
          <w:b w:val="0"/>
          <w:bCs w:val="0"/>
          <w:sz w:val="24"/>
          <w:szCs w:val="24"/>
          <w:highlight w:val="none"/>
          <w:lang w:val="en-US" w:eastAsia="zh-CN"/>
        </w:rPr>
        <w:t>供应商针对本项目制定项目实施方案，内容包括：</w:t>
      </w:r>
    </w:p>
    <w:p>
      <w:pPr>
        <w:pStyle w:val="40"/>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Times New Roman" w:hAnsi="Times New Roman" w:eastAsia="宋体" w:cs="Times New Roman"/>
          <w:b w:val="0"/>
          <w:bCs w:val="0"/>
          <w:sz w:val="24"/>
          <w:szCs w:val="24"/>
          <w:highlight w:val="none"/>
          <w:lang w:val="en-US" w:eastAsia="zh-CN"/>
        </w:rPr>
      </w:pPr>
      <w:r>
        <w:rPr>
          <w:rFonts w:ascii="Times New Roman" w:hAnsi="Times New Roman" w:eastAsia="宋体" w:cs="Times New Roman"/>
          <w:b w:val="0"/>
          <w:bCs w:val="0"/>
          <w:sz w:val="24"/>
          <w:szCs w:val="24"/>
          <w:highlight w:val="none"/>
          <w:lang w:val="en-US" w:eastAsia="zh-CN"/>
        </w:rPr>
        <w:t>1. 针对本项目的理解和工作思路，分析可能遇到的服务重难点问题，并提出相应解决措施；</w:t>
      </w:r>
    </w:p>
    <w:p>
      <w:pPr>
        <w:pStyle w:val="40"/>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Times New Roman" w:hAnsi="Times New Roman" w:eastAsia="宋体" w:cs="Times New Roman"/>
          <w:b w:val="0"/>
          <w:bCs w:val="0"/>
          <w:sz w:val="24"/>
          <w:szCs w:val="24"/>
          <w:highlight w:val="none"/>
          <w:lang w:val="en-US" w:eastAsia="zh-CN"/>
        </w:rPr>
      </w:pPr>
      <w:r>
        <w:rPr>
          <w:rFonts w:ascii="Times New Roman" w:hAnsi="Times New Roman" w:eastAsia="宋体" w:cs="Times New Roman"/>
          <w:b w:val="0"/>
          <w:bCs w:val="0"/>
          <w:sz w:val="24"/>
          <w:szCs w:val="24"/>
          <w:highlight w:val="none"/>
          <w:lang w:val="en-US" w:eastAsia="zh-CN"/>
        </w:rPr>
        <w:t>2. 针对本项目的管理模式和管理机制，包括：机构设置、岗位责任制度、服务沟通机制、安全制度、考勤制度、值班制度、工作记录及档案管理（包括交接验收资料、巡</w:t>
      </w:r>
      <w:r>
        <w:rPr>
          <w:rFonts w:hint="eastAsia" w:ascii="Times New Roman" w:hAnsi="Times New Roman" w:eastAsia="宋体" w:cs="Times New Roman"/>
          <w:b w:val="0"/>
          <w:bCs w:val="0"/>
          <w:sz w:val="24"/>
          <w:szCs w:val="24"/>
          <w:highlight w:val="none"/>
          <w:lang w:val="en-US" w:eastAsia="zh-CN"/>
        </w:rPr>
        <w:t>察</w:t>
      </w:r>
      <w:r>
        <w:rPr>
          <w:rFonts w:ascii="Times New Roman" w:hAnsi="Times New Roman" w:eastAsia="宋体" w:cs="Times New Roman"/>
          <w:b w:val="0"/>
          <w:bCs w:val="0"/>
          <w:sz w:val="24"/>
          <w:szCs w:val="24"/>
          <w:highlight w:val="none"/>
          <w:lang w:val="en-US" w:eastAsia="zh-CN"/>
        </w:rPr>
        <w:t>记录、投诉与处理记录、其它管理与服务活动记录）等；</w:t>
      </w:r>
    </w:p>
    <w:p>
      <w:pPr>
        <w:pStyle w:val="40"/>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Times New Roman" w:hAnsi="Times New Roman" w:eastAsia="宋体" w:cs="Times New Roman"/>
          <w:b w:val="0"/>
          <w:bCs w:val="0"/>
          <w:sz w:val="24"/>
          <w:szCs w:val="24"/>
          <w:highlight w:val="none"/>
          <w:lang w:val="en-US" w:eastAsia="zh-CN"/>
        </w:rPr>
      </w:pPr>
      <w:r>
        <w:rPr>
          <w:rFonts w:ascii="Times New Roman" w:hAnsi="Times New Roman" w:eastAsia="宋体" w:cs="Times New Roman"/>
          <w:b w:val="0"/>
          <w:bCs w:val="0"/>
          <w:sz w:val="24"/>
          <w:szCs w:val="24"/>
          <w:highlight w:val="none"/>
          <w:lang w:val="en-US" w:eastAsia="zh-CN"/>
        </w:rPr>
        <w:t>4. 针对本项目的突发事件处理方案与各类应急预案；</w:t>
      </w:r>
    </w:p>
    <w:p>
      <w:pPr>
        <w:pStyle w:val="40"/>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Times New Roman" w:hAnsi="Times New Roman" w:eastAsia="宋体" w:cs="Times New Roman"/>
          <w:b w:val="0"/>
          <w:bCs w:val="0"/>
          <w:sz w:val="24"/>
          <w:szCs w:val="24"/>
          <w:highlight w:val="none"/>
          <w:lang w:val="en-US" w:eastAsia="zh-CN"/>
        </w:rPr>
      </w:pPr>
      <w:r>
        <w:rPr>
          <w:rFonts w:ascii="Times New Roman" w:hAnsi="Times New Roman" w:eastAsia="宋体" w:cs="Times New Roman"/>
          <w:b w:val="0"/>
          <w:bCs w:val="0"/>
          <w:sz w:val="24"/>
          <w:szCs w:val="24"/>
          <w:highlight w:val="none"/>
          <w:lang w:val="en-US" w:eastAsia="zh-CN"/>
        </w:rPr>
        <w:t>5. 为承接本项目所需的装备计划，包括拟投入的</w:t>
      </w:r>
      <w:r>
        <w:rPr>
          <w:rFonts w:hint="eastAsia" w:ascii="Times New Roman" w:hAnsi="Times New Roman" w:eastAsia="宋体" w:cs="Times New Roman"/>
          <w:b w:val="0"/>
          <w:bCs w:val="0"/>
          <w:sz w:val="24"/>
          <w:szCs w:val="24"/>
          <w:highlight w:val="none"/>
          <w:lang w:val="en-US" w:eastAsia="zh-CN"/>
        </w:rPr>
        <w:t>园林绿化</w:t>
      </w:r>
      <w:r>
        <w:rPr>
          <w:rFonts w:ascii="Times New Roman" w:hAnsi="Times New Roman" w:eastAsia="宋体" w:cs="Times New Roman"/>
          <w:b w:val="0"/>
          <w:bCs w:val="0"/>
          <w:sz w:val="24"/>
          <w:szCs w:val="24"/>
          <w:highlight w:val="none"/>
          <w:lang w:val="en-US" w:eastAsia="zh-CN"/>
        </w:rPr>
        <w:t>设备设施和低值易耗品等；</w:t>
      </w:r>
    </w:p>
    <w:p>
      <w:pPr>
        <w:pStyle w:val="40"/>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Times New Roman" w:hAnsi="Times New Roman" w:eastAsia="宋体" w:cs="Times New Roman"/>
          <w:b w:val="0"/>
          <w:bCs w:val="0"/>
          <w:sz w:val="24"/>
          <w:szCs w:val="24"/>
          <w:highlight w:val="none"/>
          <w:lang w:val="en-US" w:eastAsia="zh-CN"/>
        </w:rPr>
      </w:pPr>
      <w:r>
        <w:rPr>
          <w:rFonts w:ascii="Times New Roman" w:hAnsi="Times New Roman" w:eastAsia="宋体" w:cs="Times New Roman"/>
          <w:b w:val="0"/>
          <w:bCs w:val="0"/>
          <w:sz w:val="24"/>
          <w:szCs w:val="24"/>
          <w:highlight w:val="none"/>
          <w:lang w:val="en-US" w:eastAsia="zh-CN"/>
        </w:rPr>
        <w:t>6. 针对本项目的人员录用与考核制度，包括人员录用与考核标准、淘汰机制、量化管理方法等；</w:t>
      </w:r>
    </w:p>
    <w:p>
      <w:pPr>
        <w:pStyle w:val="40"/>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Times New Roman" w:hAnsi="Times New Roman" w:eastAsia="宋体" w:cs="Times New Roman"/>
          <w:b w:val="0"/>
          <w:bCs w:val="0"/>
          <w:sz w:val="24"/>
          <w:szCs w:val="24"/>
          <w:highlight w:val="none"/>
          <w:lang w:val="en-US" w:eastAsia="zh-CN"/>
        </w:rPr>
      </w:pPr>
      <w:r>
        <w:rPr>
          <w:rFonts w:ascii="Times New Roman" w:hAnsi="Times New Roman" w:eastAsia="宋体" w:cs="Times New Roman"/>
          <w:b w:val="0"/>
          <w:bCs w:val="0"/>
          <w:sz w:val="24"/>
          <w:szCs w:val="24"/>
          <w:highlight w:val="none"/>
          <w:lang w:val="en-US" w:eastAsia="zh-CN"/>
        </w:rPr>
        <w:t>7. 针对本项目的人员培训计划、方式、内容，包括业务培训、思想教育等；</w:t>
      </w:r>
    </w:p>
    <w:p>
      <w:pPr>
        <w:pStyle w:val="40"/>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Times New Roman" w:hAnsi="Times New Roman" w:eastAsia="宋体" w:cs="Times New Roman"/>
          <w:b w:val="0"/>
          <w:bCs w:val="0"/>
          <w:sz w:val="24"/>
          <w:szCs w:val="24"/>
          <w:highlight w:val="none"/>
          <w:lang w:val="en-US" w:eastAsia="zh-CN"/>
        </w:rPr>
      </w:pPr>
      <w:r>
        <w:rPr>
          <w:rFonts w:ascii="Times New Roman" w:hAnsi="Times New Roman" w:eastAsia="宋体" w:cs="Times New Roman"/>
          <w:b w:val="0"/>
          <w:bCs w:val="0"/>
          <w:sz w:val="24"/>
          <w:szCs w:val="24"/>
          <w:highlight w:val="none"/>
          <w:lang w:val="en-US" w:eastAsia="zh-CN"/>
        </w:rPr>
        <w:t>8. 针对本项目的人员稳定性方案，包括人员流动率承诺、人员更换管理方案、稳定性保障方案等</w:t>
      </w:r>
      <w:r>
        <w:rPr>
          <w:rFonts w:hint="eastAsia" w:ascii="Times New Roman" w:hAnsi="Times New Roman" w:eastAsia="宋体" w:cs="Times New Roman"/>
          <w:b w:val="0"/>
          <w:bCs w:val="0"/>
          <w:sz w:val="24"/>
          <w:szCs w:val="24"/>
          <w:highlight w:val="none"/>
          <w:lang w:val="en-US" w:eastAsia="zh-CN"/>
        </w:rPr>
        <w:t>；</w:t>
      </w:r>
    </w:p>
    <w:p>
      <w:pPr>
        <w:pStyle w:val="40"/>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9</w:t>
      </w:r>
      <w:r>
        <w:rPr>
          <w:rFonts w:ascii="Times New Roman" w:hAnsi="Times New Roman" w:eastAsia="宋体" w:cs="Times New Roman"/>
          <w:b w:val="0"/>
          <w:bCs w:val="0"/>
          <w:sz w:val="24"/>
          <w:szCs w:val="24"/>
          <w:highlight w:val="none"/>
          <w:lang w:val="en-US" w:eastAsia="zh-CN"/>
        </w:rPr>
        <w:t>. 针对本项目的保密工作方案。</w:t>
      </w:r>
    </w:p>
    <w:p>
      <w:pPr>
        <w:pStyle w:val="40"/>
        <w:keepNext w:val="0"/>
        <w:keepLines w:val="0"/>
        <w:pageBreakBefore w:val="0"/>
        <w:widowControl w:val="0"/>
        <w:kinsoku/>
        <w:wordWrap/>
        <w:overflowPunct/>
        <w:topLinePunct w:val="0"/>
        <w:autoSpaceDE/>
        <w:autoSpaceDN/>
        <w:bidi w:val="0"/>
        <w:adjustRightInd/>
        <w:snapToGrid/>
        <w:spacing w:before="260" w:after="260" w:line="360" w:lineRule="auto"/>
        <w:ind w:firstLine="481" w:firstLineChars="200"/>
        <w:jc w:val="left"/>
        <w:textAlignment w:val="auto"/>
        <w:rPr>
          <w:rFonts w:ascii="Times New Roman" w:hAnsi="Times New Roman" w:eastAsia="宋体" w:cs="Times New Roman"/>
          <w:b/>
          <w:bCs w:val="0"/>
          <w:sz w:val="24"/>
          <w:szCs w:val="24"/>
          <w:highlight w:val="none"/>
        </w:rPr>
      </w:pPr>
      <w:r>
        <w:rPr>
          <w:rFonts w:ascii="Times New Roman" w:hAnsi="Times New Roman" w:eastAsia="宋体" w:cs="Times New Roman"/>
          <w:b/>
          <w:bCs w:val="0"/>
          <w:sz w:val="24"/>
          <w:szCs w:val="24"/>
          <w:highlight w:val="none"/>
        </w:rPr>
        <w:t>●</w:t>
      </w:r>
      <w:r>
        <w:rPr>
          <w:rFonts w:ascii="Times New Roman" w:hAnsi="Times New Roman" w:eastAsia="宋体" w:cs="Times New Roman"/>
          <w:b/>
          <w:bCs w:val="0"/>
          <w:sz w:val="24"/>
          <w:szCs w:val="24"/>
          <w:highlight w:val="none"/>
          <w:lang w:val="en-US"/>
        </w:rPr>
        <w:t xml:space="preserve"> 绿化养护</w:t>
      </w:r>
      <w:r>
        <w:rPr>
          <w:rFonts w:ascii="Times New Roman" w:hAnsi="Times New Roman" w:eastAsia="宋体" w:cs="Times New Roman"/>
          <w:b/>
          <w:bCs w:val="0"/>
          <w:sz w:val="24"/>
          <w:szCs w:val="24"/>
          <w:highlight w:val="none"/>
        </w:rPr>
        <w:t>方案</w:t>
      </w:r>
    </w:p>
    <w:p>
      <w:pPr>
        <w:pStyle w:val="40"/>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Times New Roman" w:hAnsi="Times New Roman" w:eastAsia="宋体" w:cs="Times New Roman"/>
          <w:b w:val="0"/>
          <w:bCs w:val="0"/>
          <w:sz w:val="24"/>
          <w:szCs w:val="24"/>
          <w:highlight w:val="none"/>
          <w:lang w:eastAsia="zh-CN"/>
        </w:rPr>
      </w:pPr>
      <w:r>
        <w:rPr>
          <w:rFonts w:ascii="Times New Roman" w:hAnsi="Times New Roman" w:eastAsia="宋体" w:cs="Times New Roman"/>
          <w:b w:val="0"/>
          <w:bCs w:val="0"/>
          <w:sz w:val="24"/>
          <w:szCs w:val="24"/>
          <w:highlight w:val="none"/>
          <w:lang w:val="en-US" w:eastAsia="zh-CN"/>
        </w:rPr>
        <w:t>供应商针对本项目制定绿化养护方案，</w:t>
      </w:r>
      <w:r>
        <w:rPr>
          <w:rFonts w:ascii="Times New Roman" w:hAnsi="Times New Roman" w:eastAsia="宋体" w:cs="Times New Roman"/>
          <w:spacing w:val="0"/>
          <w:sz w:val="24"/>
          <w:szCs w:val="24"/>
          <w:highlight w:val="none"/>
          <w:lang w:val="en-US" w:eastAsia="zh-CN"/>
        </w:rPr>
        <w:t>包括但不限于</w:t>
      </w:r>
      <w:r>
        <w:rPr>
          <w:rFonts w:hint="eastAsia" w:ascii="Times New Roman" w:hAnsi="Times New Roman" w:eastAsia="宋体" w:cs="Times New Roman"/>
          <w:b w:val="0"/>
          <w:bCs w:val="0"/>
          <w:sz w:val="24"/>
          <w:szCs w:val="24"/>
          <w:highlight w:val="none"/>
          <w:lang w:eastAsia="zh-CN"/>
        </w:rPr>
        <w:t>：</w:t>
      </w:r>
    </w:p>
    <w:p>
      <w:pPr>
        <w:pStyle w:val="40"/>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Times New Roman" w:hAnsi="Times New Roman" w:eastAsia="宋体" w:cs="Times New Roman"/>
          <w:b w:val="0"/>
          <w:bCs w:val="0"/>
          <w:sz w:val="24"/>
          <w:szCs w:val="24"/>
          <w:highlight w:val="none"/>
          <w:lang w:eastAsia="zh-CN"/>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rPr>
        <w:t>绿化养护实施方案</w:t>
      </w:r>
      <w:r>
        <w:rPr>
          <w:rFonts w:hint="eastAsia" w:ascii="Times New Roman" w:hAnsi="Times New Roman" w:eastAsia="宋体" w:cs="Times New Roman"/>
          <w:sz w:val="24"/>
          <w:szCs w:val="24"/>
          <w:highlight w:val="none"/>
          <w:lang w:eastAsia="zh-CN"/>
        </w:rPr>
        <w:t>；</w:t>
      </w:r>
    </w:p>
    <w:p>
      <w:pPr>
        <w:pStyle w:val="40"/>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ascii="Times New Roman" w:hAnsi="Times New Roman" w:eastAsia="宋体" w:cs="Times New Roman"/>
          <w:b w:val="0"/>
          <w:bCs w:val="0"/>
          <w:sz w:val="24"/>
          <w:szCs w:val="24"/>
          <w:highlight w:val="none"/>
        </w:rPr>
      </w:pPr>
      <w:r>
        <w:rPr>
          <w:rFonts w:ascii="Times New Roman" w:hAnsi="Times New Roman" w:eastAsia="宋体" w:cs="Times New Roman"/>
          <w:b w:val="0"/>
          <w:bCs w:val="0"/>
          <w:sz w:val="24"/>
          <w:szCs w:val="24"/>
          <w:highlight w:val="none"/>
        </w:rPr>
        <w:t>2.</w:t>
      </w:r>
      <w:r>
        <w:rPr>
          <w:rFonts w:hint="eastAsia" w:ascii="Times New Roman" w:hAnsi="Times New Roman" w:eastAsia="宋体" w:cs="Times New Roman"/>
          <w:b w:val="0"/>
          <w:bCs w:val="0"/>
          <w:sz w:val="24"/>
          <w:szCs w:val="24"/>
          <w:highlight w:val="none"/>
        </w:rPr>
        <w:t>浇水、施肥方案</w:t>
      </w:r>
      <w:r>
        <w:rPr>
          <w:rFonts w:hint="eastAsia" w:ascii="Times New Roman" w:hAnsi="Times New Roman" w:eastAsia="宋体" w:cs="Times New Roman"/>
          <w:b w:val="0"/>
          <w:bCs w:val="0"/>
          <w:sz w:val="24"/>
          <w:szCs w:val="24"/>
          <w:highlight w:val="none"/>
          <w:lang w:eastAsia="zh-CN"/>
        </w:rPr>
        <w:t>；</w:t>
      </w:r>
      <w:r>
        <w:rPr>
          <w:rFonts w:ascii="Times New Roman" w:hAnsi="Times New Roman" w:eastAsia="宋体" w:cs="Times New Roman"/>
          <w:b w:val="0"/>
          <w:bCs w:val="0"/>
          <w:sz w:val="24"/>
          <w:szCs w:val="24"/>
          <w:highlight w:val="none"/>
        </w:rPr>
        <w:t xml:space="preserve"> </w:t>
      </w:r>
    </w:p>
    <w:p>
      <w:pPr>
        <w:pStyle w:val="40"/>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Times New Roman" w:hAnsi="Times New Roman" w:eastAsia="宋体" w:cs="Times New Roman"/>
          <w:sz w:val="24"/>
          <w:szCs w:val="24"/>
          <w:highlight w:val="none"/>
          <w:lang w:eastAsia="zh-CN"/>
        </w:rPr>
      </w:pPr>
      <w:r>
        <w:rPr>
          <w:rFonts w:ascii="Times New Roman" w:hAnsi="Times New Roman" w:eastAsia="宋体" w:cs="Times New Roman"/>
          <w:b w:val="0"/>
          <w:bCs w:val="0"/>
          <w:sz w:val="24"/>
          <w:szCs w:val="24"/>
          <w:highlight w:val="none"/>
          <w:lang w:eastAsia="zh-CN"/>
        </w:rPr>
        <w:t>3.</w:t>
      </w:r>
      <w:r>
        <w:rPr>
          <w:rFonts w:hint="eastAsia" w:ascii="Times New Roman" w:hAnsi="Times New Roman" w:eastAsia="宋体" w:cs="Times New Roman"/>
          <w:b w:val="0"/>
          <w:bCs w:val="0"/>
          <w:sz w:val="24"/>
          <w:szCs w:val="24"/>
          <w:highlight w:val="none"/>
        </w:rPr>
        <w:t>病虫害防治方案</w:t>
      </w:r>
      <w:r>
        <w:rPr>
          <w:rFonts w:hint="eastAsia" w:ascii="Times New Roman" w:hAnsi="Times New Roman" w:eastAsia="宋体" w:cs="Times New Roman"/>
          <w:b w:val="0"/>
          <w:bCs w:val="0"/>
          <w:sz w:val="24"/>
          <w:szCs w:val="24"/>
          <w:highlight w:val="none"/>
          <w:lang w:eastAsia="zh-CN"/>
        </w:rPr>
        <w:t>；</w:t>
      </w:r>
    </w:p>
    <w:p>
      <w:pPr>
        <w:pStyle w:val="40"/>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Times New Roman" w:hAnsi="Times New Roman" w:eastAsia="宋体" w:cs="Times New Roman"/>
          <w:sz w:val="24"/>
          <w:szCs w:val="24"/>
          <w:highlight w:val="none"/>
          <w:lang w:eastAsia="zh-CN"/>
        </w:rPr>
      </w:pPr>
      <w:r>
        <w:rPr>
          <w:rFonts w:ascii="Times New Roman" w:hAnsi="Times New Roman" w:eastAsia="宋体" w:cs="Times New Roman"/>
          <w:b w:val="0"/>
          <w:bCs w:val="0"/>
          <w:sz w:val="24"/>
          <w:szCs w:val="24"/>
          <w:highlight w:val="none"/>
        </w:rPr>
        <w:t>4.</w:t>
      </w:r>
      <w:r>
        <w:rPr>
          <w:rFonts w:hint="eastAsia" w:ascii="Times New Roman" w:hAnsi="Times New Roman" w:eastAsia="宋体" w:cs="Times New Roman"/>
          <w:b w:val="0"/>
          <w:bCs w:val="0"/>
          <w:sz w:val="24"/>
          <w:szCs w:val="24"/>
          <w:highlight w:val="none"/>
        </w:rPr>
        <w:t>松土、除杂、整穴、排水方案</w:t>
      </w:r>
      <w:r>
        <w:rPr>
          <w:rFonts w:hint="eastAsia" w:ascii="Times New Roman" w:hAnsi="Times New Roman" w:eastAsia="宋体" w:cs="Times New Roman"/>
          <w:b w:val="0"/>
          <w:bCs w:val="0"/>
          <w:sz w:val="24"/>
          <w:szCs w:val="24"/>
          <w:highlight w:val="none"/>
          <w:lang w:eastAsia="zh-CN"/>
        </w:rPr>
        <w:t>；</w:t>
      </w:r>
    </w:p>
    <w:p>
      <w:pPr>
        <w:pStyle w:val="40"/>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Times New Roman" w:hAnsi="Times New Roman" w:eastAsia="宋体" w:cs="Times New Roman"/>
          <w:sz w:val="24"/>
          <w:szCs w:val="24"/>
          <w:highlight w:val="none"/>
        </w:rPr>
      </w:pPr>
      <w:r>
        <w:rPr>
          <w:rFonts w:ascii="Times New Roman" w:hAnsi="Times New Roman" w:eastAsia="宋体" w:cs="Times New Roman"/>
          <w:b w:val="0"/>
          <w:bCs w:val="0"/>
          <w:sz w:val="24"/>
          <w:szCs w:val="24"/>
          <w:highlight w:val="none"/>
        </w:rPr>
        <w:t>5.</w:t>
      </w:r>
      <w:r>
        <w:rPr>
          <w:rFonts w:hint="eastAsia" w:ascii="Times New Roman" w:hAnsi="Times New Roman" w:eastAsia="宋体" w:cs="Times New Roman"/>
          <w:b w:val="0"/>
          <w:bCs w:val="0"/>
          <w:sz w:val="24"/>
          <w:szCs w:val="24"/>
          <w:highlight w:val="none"/>
        </w:rPr>
        <w:t>修枝、整形、抹芽</w:t>
      </w:r>
      <w:r>
        <w:rPr>
          <w:rFonts w:hint="eastAsia" w:ascii="Times New Roman" w:hAnsi="Times New Roman" w:eastAsia="宋体" w:cs="Times New Roman"/>
          <w:b w:val="0"/>
          <w:bCs w:val="0"/>
          <w:sz w:val="24"/>
          <w:szCs w:val="24"/>
          <w:highlight w:val="none"/>
          <w:lang w:val="zh-CN"/>
        </w:rPr>
        <w:t>方案；</w:t>
      </w:r>
    </w:p>
    <w:p>
      <w:pPr>
        <w:pStyle w:val="40"/>
        <w:spacing w:after="0" w:line="360" w:lineRule="auto"/>
        <w:ind w:firstLine="480" w:firstLineChars="200"/>
        <w:jc w:val="left"/>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kern w:val="0"/>
          <w:sz w:val="24"/>
          <w:szCs w:val="24"/>
          <w:highlight w:val="none"/>
          <w:lang w:val="en-US"/>
        </w:rPr>
        <w:t>6</w:t>
      </w:r>
      <w:r>
        <w:rPr>
          <w:rFonts w:hint="eastAsia" w:ascii="Times New Roman" w:hAnsi="Times New Roman" w:eastAsia="宋体" w:cs="Times New Roman"/>
          <w:b w:val="0"/>
          <w:bCs w:val="0"/>
          <w:i w:val="0"/>
          <w:iCs w:val="0"/>
          <w:sz w:val="24"/>
          <w:szCs w:val="24"/>
          <w:highlight w:val="none"/>
          <w:shd w:val="clear" w:color="auto" w:fill="auto"/>
          <w:lang w:val="en-US" w:eastAsia="zh-CN"/>
        </w:rPr>
        <w:t>.园林</w:t>
      </w:r>
      <w:r>
        <w:rPr>
          <w:rFonts w:hint="eastAsia" w:ascii="Times New Roman" w:hAnsi="Times New Roman" w:eastAsia="宋体" w:cs="Times New Roman"/>
          <w:sz w:val="24"/>
          <w:szCs w:val="24"/>
          <w:highlight w:val="none"/>
        </w:rPr>
        <w:t>巡</w:t>
      </w:r>
      <w:r>
        <w:rPr>
          <w:rFonts w:hint="eastAsia" w:ascii="Times New Roman" w:hAnsi="Times New Roman" w:eastAsia="宋体" w:cs="Times New Roman"/>
          <w:sz w:val="24"/>
          <w:szCs w:val="24"/>
          <w:highlight w:val="none"/>
          <w:lang w:eastAsia="zh-CN"/>
        </w:rPr>
        <w:t>察</w:t>
      </w:r>
      <w:r>
        <w:rPr>
          <w:rFonts w:hint="eastAsia" w:ascii="Times New Roman" w:hAnsi="Times New Roman" w:eastAsia="宋体" w:cs="Times New Roman"/>
          <w:sz w:val="24"/>
          <w:szCs w:val="24"/>
          <w:highlight w:val="none"/>
        </w:rPr>
        <w:t>方案</w:t>
      </w:r>
      <w:r>
        <w:rPr>
          <w:rFonts w:hint="eastAsia" w:ascii="Times New Roman" w:hAnsi="Times New Roman" w:eastAsia="宋体" w:cs="Times New Roman"/>
          <w:sz w:val="24"/>
          <w:szCs w:val="24"/>
          <w:highlight w:val="none"/>
          <w:lang w:eastAsia="zh-CN"/>
        </w:rPr>
        <w:t>；</w:t>
      </w:r>
    </w:p>
    <w:p>
      <w:pPr>
        <w:pStyle w:val="40"/>
        <w:spacing w:after="0" w:line="360" w:lineRule="auto"/>
        <w:ind w:firstLine="480" w:firstLineChars="200"/>
        <w:jc w:val="left"/>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rPr>
        <w:t>7.绿化养护</w:t>
      </w:r>
      <w:r>
        <w:rPr>
          <w:rFonts w:hint="eastAsia" w:ascii="Times New Roman" w:hAnsi="Times New Roman" w:eastAsia="宋体" w:cs="Times New Roman"/>
          <w:sz w:val="24"/>
          <w:szCs w:val="24"/>
          <w:highlight w:val="none"/>
          <w:lang w:eastAsia="zh-CN"/>
        </w:rPr>
        <w:t>交接方案。</w:t>
      </w:r>
    </w:p>
    <w:p>
      <w:pPr>
        <w:pStyle w:val="40"/>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36"/>
        <w:spacing w:line="400" w:lineRule="exact"/>
        <w:jc w:val="center"/>
        <w:textAlignment w:val="center"/>
        <w:rPr>
          <w:rFonts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lang w:eastAsia="zh-CN"/>
        </w:rPr>
        <w:t>园林绿化养护月度考核表</w:t>
      </w:r>
    </w:p>
    <w:p>
      <w:pPr>
        <w:pStyle w:val="36"/>
        <w:spacing w:line="600" w:lineRule="exact"/>
        <w:jc w:val="right"/>
        <w:rPr>
          <w:rFonts w:hint="eastAsia" w:ascii="黑体" w:hAnsi="黑体" w:eastAsia="黑体" w:cs="黑体"/>
          <w:sz w:val="28"/>
          <w:szCs w:val="28"/>
          <w:highlight w:val="none"/>
          <w:lang w:eastAsia="zh-CN"/>
        </w:rPr>
      </w:pPr>
    </w:p>
    <w:p>
      <w:pPr>
        <w:pStyle w:val="36"/>
        <w:spacing w:line="600" w:lineRule="exact"/>
        <w:ind w:firstLine="6720" w:firstLineChars="2400"/>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****年**月</w:t>
      </w:r>
    </w:p>
    <w:p>
      <w:pPr>
        <w:pStyle w:val="36"/>
        <w:ind w:firstLine="840" w:firstLineChars="300"/>
        <w:rPr>
          <w:rFonts w:hint="eastAsia" w:ascii="黑体" w:hAnsi="黑体" w:eastAsia="黑体" w:cs="黑体"/>
          <w:sz w:val="28"/>
          <w:szCs w:val="28"/>
          <w:highlight w:val="none"/>
          <w:lang w:eastAsia="zh-CN"/>
        </w:rPr>
      </w:pPr>
    </w:p>
    <w:p>
      <w:pPr>
        <w:pStyle w:val="36"/>
        <w:ind w:firstLine="840" w:firstLineChars="300"/>
        <w:rPr>
          <w:rFonts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考核项                                       得分</w:t>
      </w:r>
    </w:p>
    <w:p>
      <w:pPr>
        <w:pStyle w:val="36"/>
        <w:spacing w:line="600" w:lineRule="exact"/>
        <w:ind w:firstLine="560" w:firstLineChars="200"/>
        <w:rPr>
          <w:rFonts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 xml:space="preserve">1.乔灌木、绿篱.............................   </w:t>
      </w:r>
      <w:r>
        <w:rPr>
          <w:rFonts w:hint="eastAsia" w:ascii="黑体" w:hAnsi="黑体" w:eastAsia="黑体" w:cs="黑体"/>
          <w:sz w:val="28"/>
          <w:szCs w:val="28"/>
          <w:highlight w:val="none"/>
          <w:u w:val="single"/>
          <w:lang w:eastAsia="zh-CN"/>
        </w:rPr>
        <w:t>****</w:t>
      </w:r>
    </w:p>
    <w:p>
      <w:pPr>
        <w:pStyle w:val="36"/>
        <w:spacing w:line="600" w:lineRule="exact"/>
        <w:ind w:firstLine="560" w:firstLineChars="200"/>
        <w:rPr>
          <w:rFonts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2.花卉、色带.................................</w:t>
      </w: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u w:val="single"/>
          <w:lang w:eastAsia="zh-CN"/>
        </w:rPr>
        <w:t>****</w:t>
      </w:r>
    </w:p>
    <w:p>
      <w:pPr>
        <w:pStyle w:val="36"/>
        <w:spacing w:line="600" w:lineRule="exact"/>
        <w:ind w:firstLine="560" w:firstLineChars="200"/>
        <w:rPr>
          <w:rFonts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3.草坪</w:t>
      </w: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lang w:val="en-US" w:eastAsia="zh-CN"/>
        </w:rPr>
        <w:t>........</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u w:val="single"/>
          <w:lang w:eastAsia="zh-CN"/>
        </w:rPr>
        <w:t>****</w:t>
      </w:r>
    </w:p>
    <w:p>
      <w:pPr>
        <w:pStyle w:val="36"/>
        <w:spacing w:line="600" w:lineRule="exact"/>
        <w:ind w:firstLine="560" w:firstLineChars="200"/>
        <w:rPr>
          <w:rFonts w:ascii="黑体" w:hAnsi="黑体" w:eastAsia="黑体" w:cs="黑体"/>
          <w:sz w:val="28"/>
          <w:szCs w:val="28"/>
          <w:highlight w:val="none"/>
          <w:lang w:val="en-US" w:eastAsia="zh-CN"/>
        </w:rPr>
      </w:pPr>
      <w:r>
        <w:rPr>
          <w:rFonts w:hint="eastAsia" w:ascii="黑体" w:hAnsi="黑体" w:eastAsia="黑体" w:cs="黑体"/>
          <w:sz w:val="28"/>
          <w:szCs w:val="28"/>
          <w:highlight w:val="none"/>
          <w:lang w:eastAsia="zh-CN"/>
        </w:rPr>
        <w:t>4.竹类</w:t>
      </w:r>
      <w:r>
        <w:rPr>
          <w:rFonts w:hint="eastAsia" w:ascii="黑体" w:hAnsi="黑体" w:eastAsia="黑体" w:cs="黑体"/>
          <w:sz w:val="28"/>
          <w:szCs w:val="28"/>
          <w:highlight w:val="none"/>
          <w:lang w:val="en-US" w:eastAsia="zh-CN"/>
        </w:rPr>
        <w:t>........................................</w:t>
      </w:r>
      <w:r>
        <w:rPr>
          <w:rFonts w:hint="eastAsia" w:ascii="黑体" w:hAnsi="黑体" w:eastAsia="黑体" w:cs="黑体"/>
          <w:sz w:val="28"/>
          <w:szCs w:val="28"/>
          <w:highlight w:val="none"/>
          <w:u w:val="single"/>
          <w:lang w:eastAsia="zh-CN"/>
        </w:rPr>
        <w:t>****</w:t>
      </w:r>
    </w:p>
    <w:p>
      <w:pPr>
        <w:pStyle w:val="36"/>
        <w:spacing w:line="600" w:lineRule="exact"/>
        <w:ind w:firstLine="560" w:firstLineChars="200"/>
        <w:rPr>
          <w:rFonts w:ascii="黑体" w:hAnsi="黑体" w:eastAsia="黑体" w:cs="黑体"/>
          <w:sz w:val="28"/>
          <w:szCs w:val="28"/>
          <w:highlight w:val="none"/>
          <w:lang w:eastAsia="zh-CN"/>
        </w:rPr>
      </w:pPr>
      <w:r>
        <w:rPr>
          <w:rFonts w:hint="eastAsia" w:ascii="黑体" w:hAnsi="黑体" w:eastAsia="黑体" w:cs="黑体"/>
          <w:sz w:val="28"/>
          <w:szCs w:val="28"/>
          <w:highlight w:val="none"/>
          <w:lang w:val="en-US" w:eastAsia="zh-CN"/>
        </w:rPr>
        <w:t>5.水生植物</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u w:val="single"/>
          <w:lang w:eastAsia="zh-CN"/>
        </w:rPr>
        <w:t>****</w:t>
      </w:r>
    </w:p>
    <w:p>
      <w:pPr>
        <w:pStyle w:val="36"/>
        <w:spacing w:line="600" w:lineRule="exact"/>
        <w:ind w:firstLine="560" w:firstLineChars="200"/>
        <w:rPr>
          <w:rFonts w:ascii="黑体" w:hAnsi="黑体" w:eastAsia="黑体" w:cs="黑体"/>
          <w:sz w:val="28"/>
          <w:szCs w:val="28"/>
          <w:highlight w:val="none"/>
          <w:lang w:eastAsia="zh-CN"/>
        </w:rPr>
      </w:pPr>
      <w:r>
        <w:rPr>
          <w:rFonts w:hint="eastAsia" w:ascii="黑体" w:hAnsi="黑体" w:eastAsia="黑体" w:cs="黑体"/>
          <w:sz w:val="28"/>
          <w:szCs w:val="28"/>
          <w:highlight w:val="none"/>
          <w:lang w:val="en-US" w:eastAsia="zh-CN"/>
        </w:rPr>
        <w:t>6</w:t>
      </w:r>
      <w:r>
        <w:rPr>
          <w:rFonts w:hint="eastAsia" w:ascii="黑体" w:hAnsi="黑体" w:eastAsia="黑体" w:cs="黑体"/>
          <w:sz w:val="28"/>
          <w:szCs w:val="28"/>
          <w:highlight w:val="none"/>
          <w:lang w:eastAsia="zh-CN"/>
        </w:rPr>
        <w:t>.供应商...............</w:t>
      </w:r>
      <w:r>
        <w:rPr>
          <w:rFonts w:hint="eastAsia" w:ascii="黑体" w:hAnsi="黑体" w:eastAsia="黑体" w:cs="黑体"/>
          <w:sz w:val="28"/>
          <w:szCs w:val="28"/>
          <w:highlight w:val="none"/>
          <w:lang w:val="en-US" w:eastAsia="zh-CN"/>
        </w:rPr>
        <w:t>......................</w:t>
      </w:r>
      <w:r>
        <w:rPr>
          <w:rFonts w:hint="eastAsia" w:ascii="黑体" w:hAnsi="黑体" w:eastAsia="黑体" w:cs="黑体"/>
          <w:sz w:val="28"/>
          <w:szCs w:val="28"/>
          <w:highlight w:val="none"/>
          <w:u w:val="single"/>
          <w:lang w:eastAsia="zh-CN"/>
        </w:rPr>
        <w:t>****</w:t>
      </w:r>
    </w:p>
    <w:p>
      <w:pPr>
        <w:pStyle w:val="36"/>
        <w:spacing w:line="600" w:lineRule="exact"/>
        <w:rPr>
          <w:rFonts w:hint="eastAsia" w:ascii="黑体" w:hAnsi="黑体" w:eastAsia="黑体" w:cs="黑体"/>
          <w:sz w:val="28"/>
          <w:szCs w:val="28"/>
          <w:highlight w:val="none"/>
          <w:lang w:eastAsia="zh-CN"/>
        </w:rPr>
      </w:pPr>
    </w:p>
    <w:p>
      <w:pPr>
        <w:pStyle w:val="36"/>
        <w:spacing w:line="600" w:lineRule="exact"/>
        <w:ind w:firstLine="6160" w:firstLineChars="2200"/>
        <w:rPr>
          <w:rFonts w:hint="eastAsia" w:ascii="黑体" w:hAnsi="黑体" w:eastAsia="黑体" w:cs="黑体"/>
          <w:sz w:val="28"/>
          <w:szCs w:val="28"/>
          <w:highlight w:val="none"/>
          <w:lang w:eastAsia="zh-CN"/>
        </w:rPr>
      </w:pPr>
    </w:p>
    <w:p>
      <w:pPr>
        <w:pStyle w:val="36"/>
        <w:spacing w:line="600" w:lineRule="exact"/>
        <w:ind w:firstLine="6440" w:firstLineChars="2300"/>
        <w:rPr>
          <w:rFonts w:ascii="黑体" w:hAnsi="黑体" w:eastAsia="黑体" w:cs="黑体"/>
          <w:sz w:val="28"/>
          <w:szCs w:val="28"/>
          <w:highlight w:val="none"/>
          <w:u w:val="single"/>
          <w:lang w:eastAsia="zh-CN"/>
        </w:rPr>
      </w:pPr>
      <w:r>
        <w:rPr>
          <w:rFonts w:hint="eastAsia" w:ascii="黑体" w:hAnsi="黑体" w:eastAsia="黑体" w:cs="黑体"/>
          <w:sz w:val="28"/>
          <w:szCs w:val="28"/>
          <w:highlight w:val="none"/>
          <w:lang w:eastAsia="zh-CN"/>
        </w:rPr>
        <w:t xml:space="preserve">得分  </w:t>
      </w:r>
      <w:r>
        <w:rPr>
          <w:rFonts w:hint="eastAsia" w:ascii="黑体" w:hAnsi="黑体" w:eastAsia="黑体" w:cs="黑体"/>
          <w:sz w:val="28"/>
          <w:szCs w:val="28"/>
          <w:highlight w:val="none"/>
          <w:u w:val="single"/>
          <w:lang w:eastAsia="zh-CN"/>
        </w:rPr>
        <w:t>*****</w:t>
      </w:r>
    </w:p>
    <w:p>
      <w:pPr>
        <w:pStyle w:val="36"/>
        <w:rPr>
          <w:rFonts w:hint="eastAsia"/>
          <w:highlight w:val="none"/>
        </w:rPr>
      </w:pPr>
    </w:p>
    <w:p>
      <w:pPr>
        <w:pStyle w:val="36"/>
        <w:spacing w:line="360" w:lineRule="exact"/>
        <w:rPr>
          <w:rFonts w:hint="eastAsia" w:ascii="黑体" w:hAnsi="黑体" w:eastAsia="黑体" w:cs="黑体"/>
          <w:sz w:val="28"/>
          <w:szCs w:val="28"/>
          <w:highlight w:val="none"/>
        </w:rPr>
      </w:pPr>
    </w:p>
    <w:p>
      <w:pPr>
        <w:pStyle w:val="36"/>
        <w:spacing w:after="120" w:line="360" w:lineRule="exact"/>
        <w:ind w:firstLine="1120" w:firstLineChars="400"/>
        <w:rPr>
          <w:rFonts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考核部门：                     考核人：</w:t>
      </w:r>
    </w:p>
    <w:p>
      <w:pPr>
        <w:pStyle w:val="36"/>
        <w:spacing w:line="360" w:lineRule="exact"/>
        <w:ind w:firstLine="280" w:firstLineChars="100"/>
        <w:rPr>
          <w:rFonts w:hint="eastAsia" w:ascii="黑体" w:hAnsi="黑体" w:eastAsia="黑体" w:cs="黑体"/>
          <w:sz w:val="28"/>
          <w:szCs w:val="28"/>
          <w:highlight w:val="none"/>
          <w:lang w:eastAsia="zh-CN"/>
        </w:rPr>
      </w:pPr>
    </w:p>
    <w:p>
      <w:pPr>
        <w:pStyle w:val="36"/>
        <w:spacing w:line="360" w:lineRule="exact"/>
        <w:ind w:firstLine="280" w:firstLineChars="100"/>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考核部门负责人：</w:t>
      </w:r>
    </w:p>
    <w:p>
      <w:pPr>
        <w:pStyle w:val="36"/>
        <w:spacing w:after="120" w:line="360" w:lineRule="exact"/>
        <w:rPr>
          <w:rFonts w:hint="eastAsia"/>
          <w:highlight w:val="none"/>
          <w:lang w:eastAsia="zh-CN"/>
        </w:rPr>
      </w:pPr>
    </w:p>
    <w:p>
      <w:pPr>
        <w:pStyle w:val="36"/>
        <w:spacing w:line="360" w:lineRule="exact"/>
        <w:ind w:firstLine="280" w:firstLineChars="100"/>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供应商项目负责人：</w:t>
      </w:r>
    </w:p>
    <w:p>
      <w:pPr>
        <w:pStyle w:val="36"/>
        <w:spacing w:line="360" w:lineRule="exact"/>
        <w:ind w:firstLine="280" w:firstLineChars="100"/>
        <w:rPr>
          <w:rFonts w:hint="eastAsia" w:ascii="黑体" w:hAnsi="黑体" w:eastAsia="黑体" w:cs="黑体"/>
          <w:sz w:val="28"/>
          <w:szCs w:val="28"/>
          <w:highlight w:val="none"/>
          <w:lang w:eastAsia="zh-CN"/>
        </w:rPr>
      </w:pPr>
    </w:p>
    <w:p>
      <w:pPr>
        <w:pStyle w:val="36"/>
        <w:spacing w:line="360" w:lineRule="exact"/>
        <w:ind w:firstLine="1120" w:firstLineChars="400"/>
        <w:rPr>
          <w:rFonts w:hint="eastAsia" w:ascii="黑体" w:hAnsi="黑体" w:eastAsia="黑体" w:cs="黑体"/>
          <w:sz w:val="28"/>
          <w:szCs w:val="28"/>
          <w:highlight w:val="none"/>
          <w:lang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sz w:val="28"/>
          <w:szCs w:val="28"/>
          <w:highlight w:val="none"/>
          <w:lang w:eastAsia="zh-CN"/>
        </w:rPr>
        <w:t xml:space="preserve">考核日期：    </w:t>
      </w:r>
    </w:p>
    <w:tbl>
      <w:tblPr>
        <w:tblStyle w:val="6"/>
        <w:tblW w:w="14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061"/>
        <w:gridCol w:w="1594"/>
        <w:gridCol w:w="3847"/>
        <w:gridCol w:w="1274"/>
        <w:gridCol w:w="477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65" w:type="dxa"/>
            <w:vAlign w:val="center"/>
          </w:tcPr>
          <w:p>
            <w:pPr>
              <w:jc w:val="center"/>
              <w:rPr>
                <w:rFonts w:hint="eastAsia" w:ascii="仿宋_GB2312" w:hAnsi="仿宋_GB2312" w:eastAsia="仿宋_GB2312" w:cs="仿宋_GB2312"/>
                <w:b/>
                <w:bCs/>
                <w:highlight w:val="none"/>
                <w:vertAlign w:val="baseline"/>
                <w:lang w:val="en-US" w:eastAsia="zh-CN"/>
              </w:rPr>
            </w:pPr>
            <w:r>
              <w:rPr>
                <w:rFonts w:hint="eastAsia" w:ascii="仿宋_GB2312" w:hAnsi="仿宋_GB2312" w:eastAsia="仿宋_GB2312" w:cs="仿宋_GB2312"/>
                <w:b/>
                <w:bCs/>
                <w:highlight w:val="none"/>
                <w:vertAlign w:val="baseline"/>
                <w:lang w:val="en-US" w:eastAsia="zh-CN"/>
              </w:rPr>
              <w:t>序号</w:t>
            </w:r>
          </w:p>
        </w:tc>
        <w:tc>
          <w:tcPr>
            <w:tcW w:w="1061" w:type="dxa"/>
            <w:vAlign w:val="center"/>
          </w:tcPr>
          <w:p>
            <w:pPr>
              <w:jc w:val="center"/>
              <w:rPr>
                <w:rFonts w:hint="eastAsia" w:ascii="仿宋_GB2312" w:hAnsi="仿宋_GB2312" w:eastAsia="仿宋_GB2312" w:cs="仿宋_GB2312"/>
                <w:b/>
                <w:bCs/>
                <w:highlight w:val="none"/>
                <w:vertAlign w:val="baseline"/>
                <w:lang w:eastAsia="zh-CN"/>
              </w:rPr>
            </w:pPr>
            <w:r>
              <w:rPr>
                <w:rFonts w:hint="eastAsia" w:ascii="仿宋_GB2312" w:hAnsi="仿宋_GB2312" w:eastAsia="仿宋_GB2312" w:cs="仿宋_GB2312"/>
                <w:b/>
                <w:bCs/>
                <w:highlight w:val="none"/>
                <w:vertAlign w:val="baseline"/>
                <w:lang w:eastAsia="zh-CN"/>
              </w:rPr>
              <w:t>品种</w:t>
            </w:r>
          </w:p>
        </w:tc>
        <w:tc>
          <w:tcPr>
            <w:tcW w:w="1594" w:type="dxa"/>
            <w:vAlign w:val="center"/>
          </w:tcPr>
          <w:p>
            <w:pPr>
              <w:jc w:val="center"/>
              <w:rPr>
                <w:rFonts w:hint="eastAsia" w:ascii="仿宋_GB2312" w:hAnsi="仿宋_GB2312" w:eastAsia="仿宋_GB2312" w:cs="仿宋_GB2312"/>
                <w:b/>
                <w:bCs/>
                <w:highlight w:val="none"/>
                <w:vertAlign w:val="baseline"/>
                <w:lang w:eastAsia="zh-CN"/>
              </w:rPr>
            </w:pPr>
            <w:r>
              <w:rPr>
                <w:rFonts w:hint="eastAsia" w:ascii="仿宋_GB2312" w:hAnsi="仿宋_GB2312" w:eastAsia="仿宋_GB2312" w:cs="仿宋_GB2312"/>
                <w:b/>
                <w:bCs/>
                <w:highlight w:val="none"/>
                <w:vertAlign w:val="baseline"/>
                <w:lang w:eastAsia="zh-CN"/>
              </w:rPr>
              <w:t>考核项</w:t>
            </w:r>
          </w:p>
        </w:tc>
        <w:tc>
          <w:tcPr>
            <w:tcW w:w="3847" w:type="dxa"/>
            <w:vAlign w:val="center"/>
          </w:tcPr>
          <w:p>
            <w:pPr>
              <w:jc w:val="center"/>
              <w:rPr>
                <w:rFonts w:hint="eastAsia" w:ascii="仿宋_GB2312" w:hAnsi="仿宋_GB2312" w:eastAsia="仿宋_GB2312" w:cs="仿宋_GB2312"/>
                <w:b/>
                <w:bCs/>
                <w:highlight w:val="none"/>
                <w:vertAlign w:val="baseline"/>
                <w:lang w:eastAsia="zh-CN"/>
              </w:rPr>
            </w:pPr>
            <w:r>
              <w:rPr>
                <w:rFonts w:hint="eastAsia" w:ascii="仿宋_GB2312" w:hAnsi="仿宋_GB2312" w:eastAsia="仿宋_GB2312" w:cs="仿宋_GB2312"/>
                <w:b/>
                <w:bCs/>
                <w:highlight w:val="none"/>
                <w:vertAlign w:val="baseline"/>
                <w:lang w:eastAsia="zh-CN"/>
              </w:rPr>
              <w:t>考核内容</w:t>
            </w:r>
          </w:p>
        </w:tc>
        <w:tc>
          <w:tcPr>
            <w:tcW w:w="1274" w:type="dxa"/>
            <w:vAlign w:val="center"/>
          </w:tcPr>
          <w:p>
            <w:pPr>
              <w:jc w:val="center"/>
              <w:rPr>
                <w:rFonts w:hint="eastAsia" w:ascii="仿宋_GB2312" w:hAnsi="仿宋_GB2312" w:eastAsia="仿宋_GB2312" w:cs="仿宋_GB2312"/>
                <w:b/>
                <w:bCs/>
                <w:highlight w:val="none"/>
                <w:vertAlign w:val="baseline"/>
                <w:lang w:eastAsia="zh-CN"/>
              </w:rPr>
            </w:pPr>
            <w:r>
              <w:rPr>
                <w:rFonts w:hint="eastAsia" w:ascii="仿宋_GB2312" w:hAnsi="仿宋_GB2312" w:eastAsia="仿宋_GB2312" w:cs="仿宋_GB2312"/>
                <w:b/>
                <w:bCs/>
                <w:highlight w:val="none"/>
                <w:vertAlign w:val="baseline"/>
                <w:lang w:eastAsia="zh-CN"/>
              </w:rPr>
              <w:t>基础分值</w:t>
            </w:r>
          </w:p>
        </w:tc>
        <w:tc>
          <w:tcPr>
            <w:tcW w:w="4771" w:type="dxa"/>
            <w:vAlign w:val="center"/>
          </w:tcPr>
          <w:p>
            <w:pPr>
              <w:jc w:val="center"/>
              <w:rPr>
                <w:rFonts w:hint="eastAsia" w:ascii="仿宋_GB2312" w:hAnsi="仿宋_GB2312" w:eastAsia="仿宋_GB2312" w:cs="仿宋_GB2312"/>
                <w:b/>
                <w:bCs/>
                <w:highlight w:val="none"/>
                <w:vertAlign w:val="baseline"/>
                <w:lang w:eastAsia="zh-CN"/>
              </w:rPr>
            </w:pPr>
            <w:r>
              <w:rPr>
                <w:rFonts w:hint="eastAsia" w:ascii="仿宋_GB2312" w:hAnsi="仿宋_GB2312" w:eastAsia="仿宋_GB2312" w:cs="仿宋_GB2312"/>
                <w:b/>
                <w:bCs/>
                <w:sz w:val="24"/>
                <w:szCs w:val="24"/>
                <w:highlight w:val="none"/>
                <w:lang w:eastAsia="zh-CN" w:bidi="ar"/>
              </w:rPr>
              <w:t>计分说明</w:t>
            </w:r>
          </w:p>
        </w:tc>
        <w:tc>
          <w:tcPr>
            <w:tcW w:w="1140" w:type="dxa"/>
            <w:vAlign w:val="center"/>
          </w:tcPr>
          <w:p>
            <w:pPr>
              <w:jc w:val="center"/>
              <w:rPr>
                <w:rFonts w:hint="eastAsia" w:ascii="仿宋_GB2312" w:hAnsi="仿宋_GB2312" w:eastAsia="仿宋_GB2312" w:cs="仿宋_GB2312"/>
                <w:b/>
                <w:bCs/>
                <w:highlight w:val="none"/>
                <w:vertAlign w:val="baseline"/>
                <w:lang w:eastAsia="zh-CN"/>
              </w:rPr>
            </w:pPr>
            <w:r>
              <w:rPr>
                <w:rFonts w:hint="eastAsia" w:ascii="仿宋_GB2312" w:hAnsi="仿宋_GB2312" w:eastAsia="仿宋_GB2312" w:cs="仿宋_GB2312"/>
                <w:b/>
                <w:bCs/>
                <w:highlight w:val="none"/>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765" w:type="dxa"/>
            <w:vMerge w:val="restart"/>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1</w:t>
            </w:r>
          </w:p>
        </w:tc>
        <w:tc>
          <w:tcPr>
            <w:tcW w:w="1061" w:type="dxa"/>
            <w:vMerge w:val="restart"/>
            <w:vAlign w:val="center"/>
          </w:tcPr>
          <w:p>
            <w:pPr>
              <w:jc w:val="center"/>
              <w:rPr>
                <w:rFonts w:hint="eastAsia" w:ascii="仿宋_GB2312" w:hAnsi="仿宋_GB2312" w:eastAsia="仿宋_GB2312" w:cs="仿宋_GB2312"/>
                <w:highlight w:val="none"/>
                <w:vertAlign w:val="baseline"/>
                <w:lang w:eastAsia="zh-CN"/>
              </w:rPr>
            </w:pPr>
            <w:r>
              <w:rPr>
                <w:rFonts w:hint="eastAsia" w:ascii="仿宋_GB2312" w:hAnsi="仿宋_GB2312" w:eastAsia="仿宋_GB2312" w:cs="仿宋_GB2312"/>
                <w:highlight w:val="none"/>
                <w:vertAlign w:val="baseline"/>
                <w:lang w:eastAsia="zh-CN"/>
              </w:rPr>
              <w:t>乔灌木</w:t>
            </w:r>
          </w:p>
          <w:p>
            <w:pPr>
              <w:jc w:val="cente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绿篱</w:t>
            </w:r>
          </w:p>
        </w:tc>
        <w:tc>
          <w:tcPr>
            <w:tcW w:w="1594" w:type="dxa"/>
            <w:vAlign w:val="center"/>
          </w:tcPr>
          <w:p>
            <w:pPr>
              <w:jc w:val="cente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整体效果</w:t>
            </w:r>
          </w:p>
        </w:tc>
        <w:tc>
          <w:tcPr>
            <w:tcW w:w="3847" w:type="dxa"/>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1.</w:t>
            </w:r>
            <w:r>
              <w:rPr>
                <w:rFonts w:hint="eastAsia" w:ascii="仿宋_GB2312" w:hAnsi="仿宋_GB2312" w:eastAsia="仿宋_GB2312" w:cs="仿宋_GB2312"/>
                <w:highlight w:val="none"/>
                <w:vertAlign w:val="baseline"/>
              </w:rPr>
              <w:t>树林、树丛群落结构合理，植株疏密得当，层次分明，林冠线和林缘线清晰饱满；</w:t>
            </w:r>
          </w:p>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2.</w:t>
            </w:r>
            <w:r>
              <w:rPr>
                <w:rFonts w:hint="eastAsia" w:ascii="仿宋_GB2312" w:hAnsi="仿宋_GB2312" w:eastAsia="仿宋_GB2312" w:cs="仿宋_GB2312"/>
                <w:highlight w:val="none"/>
                <w:vertAlign w:val="baseline"/>
              </w:rPr>
              <w:t>孤植树树形完美，树冠饱满；</w:t>
            </w:r>
          </w:p>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3.</w:t>
            </w:r>
            <w:r>
              <w:rPr>
                <w:rFonts w:hint="eastAsia" w:ascii="仿宋_GB2312" w:hAnsi="仿宋_GB2312" w:eastAsia="仿宋_GB2312" w:cs="仿宋_GB2312"/>
                <w:highlight w:val="none"/>
                <w:vertAlign w:val="baseline"/>
              </w:rPr>
              <w:t>行道树树冠完整，规格整齐、一致，</w:t>
            </w:r>
            <w:r>
              <w:rPr>
                <w:rFonts w:hint="eastAsia" w:ascii="仿宋_GB2312" w:hAnsi="仿宋_GB2312" w:eastAsia="仿宋_GB2312" w:cs="仿宋_GB2312"/>
                <w:highlight w:val="none"/>
                <w:vertAlign w:val="baseline"/>
                <w:lang w:eastAsia="zh-CN"/>
              </w:rPr>
              <w:t>无</w:t>
            </w:r>
            <w:r>
              <w:rPr>
                <w:rFonts w:hint="eastAsia" w:ascii="仿宋_GB2312" w:hAnsi="仿宋_GB2312" w:eastAsia="仿宋_GB2312" w:cs="仿宋_GB2312"/>
                <w:highlight w:val="none"/>
                <w:vertAlign w:val="baseline"/>
              </w:rPr>
              <w:t>缺株，树干挺直；</w:t>
            </w:r>
          </w:p>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4.</w:t>
            </w:r>
            <w:r>
              <w:rPr>
                <w:rFonts w:hint="eastAsia" w:ascii="仿宋_GB2312" w:hAnsi="仿宋_GB2312" w:eastAsia="仿宋_GB2312" w:cs="仿宋_GB2312"/>
                <w:highlight w:val="none"/>
                <w:vertAlign w:val="baseline"/>
              </w:rPr>
              <w:t>绿篱无缺株，修剪面平整饱满，直线处平直，曲线处弧度圆润。</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25</w:t>
            </w:r>
          </w:p>
          <w:p>
            <w:pPr>
              <w:jc w:val="center"/>
              <w:rPr>
                <w:rFonts w:hint="eastAsia" w:ascii="仿宋_GB2312" w:hAnsi="仿宋_GB2312" w:eastAsia="仿宋_GB2312" w:cs="仿宋_GB2312"/>
                <w:highlight w:val="none"/>
                <w:vertAlign w:val="baseline"/>
                <w:lang w:val="en-US" w:eastAsia="zh-CN"/>
              </w:rPr>
            </w:pPr>
          </w:p>
        </w:tc>
        <w:tc>
          <w:tcPr>
            <w:tcW w:w="4771" w:type="dxa"/>
          </w:tcPr>
          <w:p>
            <w:pPr>
              <w:numPr>
                <w:ilvl w:val="0"/>
                <w:numId w:val="2"/>
              </w:numPr>
              <w:rPr>
                <w:rFonts w:hint="eastAsia" w:ascii="仿宋_GB2312" w:hAnsi="仿宋_GB2312" w:eastAsia="仿宋_GB2312" w:cs="仿宋_GB2312"/>
                <w:highlight w:val="none"/>
                <w:lang w:eastAsia="zh-CN" w:bidi="ar"/>
              </w:rPr>
            </w:pPr>
            <w:r>
              <w:rPr>
                <w:rFonts w:hint="eastAsia" w:ascii="仿宋_GB2312" w:hAnsi="仿宋_GB2312" w:eastAsia="仿宋_GB2312" w:cs="仿宋_GB2312"/>
                <w:highlight w:val="none"/>
              </w:rPr>
              <w:t>未修剪或修剪严重影响树形</w:t>
            </w:r>
            <w:r>
              <w:rPr>
                <w:rFonts w:hint="eastAsia" w:ascii="仿宋_GB2312" w:hAnsi="仿宋_GB2312" w:eastAsia="仿宋_GB2312" w:cs="仿宋_GB2312"/>
                <w:highlight w:val="none"/>
                <w:lang w:eastAsia="zh-CN"/>
              </w:rPr>
              <w:t>、美观、</w:t>
            </w:r>
            <w:r>
              <w:rPr>
                <w:rFonts w:hint="eastAsia" w:ascii="仿宋_GB2312" w:hAnsi="仿宋_GB2312" w:eastAsia="仿宋_GB2312" w:cs="仿宋_GB2312"/>
                <w:highlight w:val="none"/>
                <w:lang w:eastAsia="zh-CN" w:bidi="ar"/>
              </w:rPr>
              <w:t>不及时修剪形成萌芽多，弱枝、病枝多，有折损枝，树下有杂草、</w:t>
            </w:r>
            <w:r>
              <w:rPr>
                <w:rFonts w:hint="eastAsia" w:ascii="仿宋_GB2312" w:hAnsi="仿宋_GB2312" w:eastAsia="仿宋_GB2312" w:cs="仿宋_GB2312"/>
                <w:lang w:bidi="ar"/>
              </w:rPr>
              <w:t>枝条直径超过4CM的</w:t>
            </w:r>
            <w:r>
              <w:rPr>
                <w:rFonts w:hint="eastAsia" w:ascii="仿宋_GB2312" w:hAnsi="仿宋_GB2312" w:eastAsia="仿宋_GB2312" w:cs="仿宋_GB2312"/>
                <w:highlight w:val="none"/>
                <w:lang w:eastAsia="zh-CN" w:bidi="ar"/>
              </w:rPr>
              <w:t>修剪后伤口未涂抹愈合剂等，每株扣</w:t>
            </w:r>
            <w:r>
              <w:rPr>
                <w:rFonts w:hint="eastAsia" w:ascii="仿宋_GB2312" w:hAnsi="仿宋_GB2312" w:eastAsia="仿宋_GB2312" w:cs="仿宋_GB2312"/>
                <w:highlight w:val="none"/>
                <w:lang w:val="en-US" w:eastAsia="zh-CN" w:bidi="ar"/>
              </w:rPr>
              <w:t>1</w:t>
            </w:r>
            <w:r>
              <w:rPr>
                <w:rFonts w:hint="eastAsia" w:ascii="仿宋_GB2312" w:hAnsi="仿宋_GB2312" w:eastAsia="仿宋_GB2312" w:cs="仿宋_GB2312"/>
                <w:highlight w:val="none"/>
                <w:lang w:eastAsia="zh-CN" w:bidi="ar"/>
              </w:rPr>
              <w:t>分</w:t>
            </w:r>
          </w:p>
          <w:p>
            <w:pPr>
              <w:numPr>
                <w:ilvl w:val="0"/>
                <w:numId w:val="2"/>
              </w:numPr>
              <w:ind w:left="0" w:leftChars="0" w:firstLine="0" w:firstLineChars="0"/>
              <w:rPr>
                <w:rFonts w:hint="eastAsia" w:ascii="仿宋_GB2312" w:hAnsi="仿宋_GB2312" w:eastAsia="仿宋_GB2312" w:cs="仿宋_GB2312"/>
                <w:highlight w:val="none"/>
                <w:lang w:eastAsia="zh-CN" w:bidi="ar"/>
              </w:rPr>
            </w:pPr>
            <w:r>
              <w:rPr>
                <w:rFonts w:hint="eastAsia" w:ascii="仿宋_GB2312" w:hAnsi="仿宋_GB2312" w:eastAsia="仿宋_GB2312" w:cs="仿宋_GB2312"/>
                <w:highlight w:val="none"/>
                <w:lang w:eastAsia="zh-CN" w:bidi="ar"/>
              </w:rPr>
              <w:t>修剪后垃圾清理不干净的，每处扣</w:t>
            </w:r>
            <w:r>
              <w:rPr>
                <w:rFonts w:hint="eastAsia" w:ascii="仿宋_GB2312" w:hAnsi="仿宋_GB2312" w:eastAsia="仿宋_GB2312" w:cs="仿宋_GB2312"/>
                <w:highlight w:val="none"/>
                <w:lang w:val="en-US" w:eastAsia="zh-CN" w:bidi="ar"/>
              </w:rPr>
              <w:t>1</w:t>
            </w:r>
            <w:r>
              <w:rPr>
                <w:rFonts w:hint="eastAsia" w:ascii="仿宋_GB2312" w:hAnsi="仿宋_GB2312" w:eastAsia="仿宋_GB2312" w:cs="仿宋_GB2312"/>
                <w:highlight w:val="none"/>
                <w:lang w:eastAsia="zh-CN" w:bidi="ar"/>
              </w:rPr>
              <w:t>分</w:t>
            </w:r>
          </w:p>
          <w:p>
            <w:pPr>
              <w:numPr>
                <w:ilvl w:val="0"/>
                <w:numId w:val="2"/>
              </w:numPr>
              <w:ind w:left="0" w:leftChars="0" w:firstLine="0" w:firstLineChars="0"/>
              <w:rPr>
                <w:rFonts w:hint="eastAsia" w:ascii="仿宋_GB2312" w:hAnsi="仿宋_GB2312" w:eastAsia="仿宋_GB2312" w:cs="仿宋_GB2312"/>
                <w:highlight w:val="none"/>
                <w:lang w:val="en-US" w:eastAsia="zh-CN" w:bidi="ar"/>
              </w:rPr>
            </w:pPr>
            <w:r>
              <w:rPr>
                <w:rFonts w:hint="eastAsia" w:ascii="仿宋_GB2312" w:hAnsi="仿宋_GB2312" w:eastAsia="仿宋_GB2312" w:cs="仿宋_GB2312"/>
                <w:highlight w:val="none"/>
                <w:lang w:val="en-US" w:eastAsia="zh-CN" w:bidi="ar"/>
              </w:rPr>
              <w:t>缺株未及时更换，每株扣1分</w:t>
            </w:r>
          </w:p>
          <w:p>
            <w:pPr>
              <w:numPr>
                <w:ilvl w:val="0"/>
                <w:numId w:val="2"/>
              </w:numPr>
              <w:ind w:left="0" w:leftChars="0" w:firstLine="0" w:firstLineChars="0"/>
              <w:rPr>
                <w:rFonts w:hint="eastAsia" w:ascii="仿宋_GB2312" w:hAnsi="仿宋_GB2312" w:eastAsia="仿宋_GB2312" w:cs="仿宋_GB2312"/>
                <w:highlight w:val="none"/>
                <w:lang w:val="en-US" w:eastAsia="zh-CN" w:bidi="ar"/>
              </w:rPr>
            </w:pPr>
            <w:r>
              <w:rPr>
                <w:rFonts w:hint="eastAsia" w:ascii="仿宋_GB2312" w:hAnsi="仿宋_GB2312" w:eastAsia="仿宋_GB2312" w:cs="仿宋_GB2312"/>
                <w:highlight w:val="none"/>
                <w:vertAlign w:val="baseline"/>
              </w:rPr>
              <w:t>行道</w:t>
            </w:r>
            <w:r>
              <w:rPr>
                <w:rFonts w:hint="eastAsia" w:ascii="仿宋_GB2312" w:hAnsi="仿宋_GB2312" w:eastAsia="仿宋_GB2312" w:cs="仿宋_GB2312"/>
                <w:highlight w:val="none"/>
                <w:lang w:val="en-US" w:eastAsia="zh-CN" w:bidi="ar"/>
              </w:rPr>
              <w:t>树干生长弯曲，枝干混乱，严重影响通风透光，树叶稀疏，树冠不完整</w:t>
            </w:r>
            <w:r>
              <w:rPr>
                <w:rFonts w:hint="eastAsia" w:ascii="仿宋_GB2312" w:hAnsi="仿宋_GB2312" w:eastAsia="仿宋_GB2312" w:cs="仿宋_GB2312"/>
                <w:highlight w:val="none"/>
                <w:lang w:eastAsia="zh-CN" w:bidi="ar"/>
              </w:rPr>
              <w:t>每株</w:t>
            </w:r>
            <w:r>
              <w:rPr>
                <w:rFonts w:hint="eastAsia" w:ascii="仿宋_GB2312" w:hAnsi="仿宋_GB2312" w:eastAsia="仿宋_GB2312" w:cs="仿宋_GB2312"/>
                <w:highlight w:val="none"/>
                <w:lang w:val="en-US" w:eastAsia="zh-CN" w:bidi="ar"/>
              </w:rPr>
              <w:t>扣1分</w:t>
            </w:r>
          </w:p>
          <w:p>
            <w:pPr>
              <w:numPr>
                <w:ilvl w:val="0"/>
                <w:numId w:val="2"/>
              </w:numPr>
              <w:ind w:left="0" w:leftChars="0" w:firstLine="0" w:firstLineChars="0"/>
              <w:rPr>
                <w:rFonts w:hint="eastAsia" w:ascii="仿宋_GB2312" w:hAnsi="仿宋_GB2312" w:eastAsia="仿宋_GB2312" w:cs="仿宋_GB2312"/>
                <w:highlight w:val="none"/>
                <w:lang w:val="en-US" w:eastAsia="zh-CN" w:bidi="ar"/>
              </w:rPr>
            </w:pPr>
            <w:r>
              <w:rPr>
                <w:rFonts w:hint="eastAsia" w:ascii="仿宋_GB2312" w:hAnsi="仿宋_GB2312" w:eastAsia="仿宋_GB2312" w:cs="仿宋_GB2312"/>
                <w:highlight w:val="none"/>
                <w:vertAlign w:val="baseline"/>
              </w:rPr>
              <w:t>绿篱缺株</w:t>
            </w:r>
            <w:r>
              <w:rPr>
                <w:rFonts w:hint="eastAsia" w:ascii="仿宋_GB2312" w:hAnsi="仿宋_GB2312" w:eastAsia="仿宋_GB2312" w:cs="仿宋_GB2312"/>
                <w:highlight w:val="none"/>
                <w:vertAlign w:val="baseline"/>
                <w:lang w:eastAsia="zh-CN"/>
              </w:rPr>
              <w:t>，</w:t>
            </w:r>
            <w:r>
              <w:rPr>
                <w:rFonts w:hint="eastAsia" w:ascii="仿宋_GB2312" w:hAnsi="仿宋_GB2312" w:eastAsia="仿宋_GB2312" w:cs="仿宋_GB2312"/>
                <w:highlight w:val="none"/>
                <w:vertAlign w:val="baseline"/>
              </w:rPr>
              <w:t>修剪面</w:t>
            </w:r>
            <w:r>
              <w:rPr>
                <w:rFonts w:hint="eastAsia" w:ascii="仿宋_GB2312" w:hAnsi="仿宋_GB2312" w:eastAsia="仿宋_GB2312" w:cs="仿宋_GB2312"/>
                <w:highlight w:val="none"/>
                <w:vertAlign w:val="baseline"/>
                <w:lang w:eastAsia="zh-CN"/>
              </w:rPr>
              <w:t>不</w:t>
            </w:r>
            <w:r>
              <w:rPr>
                <w:rFonts w:hint="eastAsia" w:ascii="仿宋_GB2312" w:hAnsi="仿宋_GB2312" w:eastAsia="仿宋_GB2312" w:cs="仿宋_GB2312"/>
                <w:highlight w:val="none"/>
                <w:vertAlign w:val="baseline"/>
              </w:rPr>
              <w:t>平整饱满，直线处</w:t>
            </w:r>
            <w:r>
              <w:rPr>
                <w:rFonts w:hint="eastAsia" w:ascii="仿宋_GB2312" w:hAnsi="仿宋_GB2312" w:eastAsia="仿宋_GB2312" w:cs="仿宋_GB2312"/>
                <w:highlight w:val="none"/>
                <w:vertAlign w:val="baseline"/>
                <w:lang w:eastAsia="zh-CN"/>
              </w:rPr>
              <w:t>不</w:t>
            </w:r>
            <w:r>
              <w:rPr>
                <w:rFonts w:hint="eastAsia" w:ascii="仿宋_GB2312" w:hAnsi="仿宋_GB2312" w:eastAsia="仿宋_GB2312" w:cs="仿宋_GB2312"/>
                <w:highlight w:val="none"/>
                <w:vertAlign w:val="baseline"/>
              </w:rPr>
              <w:t>平直，曲线处弧度</w:t>
            </w:r>
            <w:r>
              <w:rPr>
                <w:rFonts w:hint="eastAsia" w:ascii="仿宋_GB2312" w:hAnsi="仿宋_GB2312" w:eastAsia="仿宋_GB2312" w:cs="仿宋_GB2312"/>
                <w:highlight w:val="none"/>
                <w:vertAlign w:val="baseline"/>
                <w:lang w:eastAsia="zh-CN"/>
              </w:rPr>
              <w:t>不</w:t>
            </w:r>
            <w:r>
              <w:rPr>
                <w:rFonts w:hint="eastAsia" w:ascii="仿宋_GB2312" w:hAnsi="仿宋_GB2312" w:eastAsia="仿宋_GB2312" w:cs="仿宋_GB2312"/>
                <w:highlight w:val="none"/>
                <w:vertAlign w:val="baseline"/>
              </w:rPr>
              <w:t>圆润</w:t>
            </w:r>
            <w:r>
              <w:rPr>
                <w:rFonts w:hint="eastAsia" w:ascii="仿宋_GB2312" w:hAnsi="仿宋_GB2312" w:eastAsia="仿宋_GB2312" w:cs="仿宋_GB2312"/>
                <w:highlight w:val="none"/>
                <w:vertAlign w:val="baseline"/>
                <w:lang w:eastAsia="zh-CN"/>
              </w:rPr>
              <w:t>，扣</w:t>
            </w:r>
            <w:r>
              <w:rPr>
                <w:rFonts w:hint="eastAsia" w:ascii="仿宋_GB2312" w:hAnsi="仿宋_GB2312" w:eastAsia="仿宋_GB2312" w:cs="仿宋_GB2312"/>
                <w:highlight w:val="none"/>
                <w:vertAlign w:val="baseline"/>
                <w:lang w:val="en-US" w:eastAsia="zh-CN"/>
              </w:rPr>
              <w:t>1分</w:t>
            </w:r>
          </w:p>
          <w:p>
            <w:pPr>
              <w:numPr>
                <w:ilvl w:val="0"/>
                <w:numId w:val="2"/>
              </w:numPr>
              <w:rPr>
                <w:rFonts w:hint="eastAsia" w:ascii="仿宋_GB2312" w:hAnsi="仿宋_GB2312" w:eastAsia="仿宋_GB2312" w:cs="仿宋_GB2312"/>
                <w:highlight w:val="none"/>
                <w:lang w:val="en-US" w:eastAsia="zh-CN" w:bidi="ar"/>
              </w:rPr>
            </w:pPr>
            <w:r>
              <w:rPr>
                <w:rFonts w:hint="eastAsia" w:ascii="仿宋_GB2312" w:hAnsi="仿宋_GB2312" w:eastAsia="仿宋_GB2312" w:cs="仿宋_GB2312"/>
                <w:highlight w:val="none"/>
                <w:vertAlign w:val="baseline"/>
              </w:rPr>
              <w:t>针叶树针叶宿存3年以上，结果枝条在10%以下</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Merge w:val="continue"/>
            <w:vAlign w:val="center"/>
          </w:tcPr>
          <w:p>
            <w:pPr>
              <w:jc w:val="center"/>
              <w:rPr>
                <w:rFonts w:hint="eastAsia" w:ascii="仿宋_GB2312" w:hAnsi="仿宋_GB2312" w:eastAsia="仿宋_GB2312" w:cs="仿宋_GB2312"/>
                <w:highlight w:val="none"/>
                <w:vertAlign w:val="baseline"/>
              </w:rPr>
            </w:pPr>
          </w:p>
        </w:tc>
        <w:tc>
          <w:tcPr>
            <w:tcW w:w="1061" w:type="dxa"/>
            <w:vMerge w:val="continue"/>
            <w:vAlign w:val="center"/>
          </w:tcPr>
          <w:p>
            <w:pPr>
              <w:jc w:val="center"/>
              <w:rPr>
                <w:rFonts w:hint="eastAsia" w:ascii="仿宋_GB2312" w:hAnsi="仿宋_GB2312" w:eastAsia="仿宋_GB2312" w:cs="仿宋_GB2312"/>
                <w:highlight w:val="none"/>
                <w:vertAlign w:val="baseline"/>
              </w:rPr>
            </w:pPr>
          </w:p>
        </w:tc>
        <w:tc>
          <w:tcPr>
            <w:tcW w:w="1594" w:type="dxa"/>
            <w:vAlign w:val="center"/>
          </w:tcPr>
          <w:p>
            <w:pPr>
              <w:jc w:val="cente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生长势</w:t>
            </w:r>
          </w:p>
        </w:tc>
        <w:tc>
          <w:tcPr>
            <w:tcW w:w="3847" w:type="dxa"/>
          </w:tcPr>
          <w:p>
            <w:pP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枝叶生长茂盛，观花、观果树种正常开花结果，彩色树种季相特征明显，无枯枝。</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25</w:t>
            </w:r>
          </w:p>
        </w:tc>
        <w:tc>
          <w:tcPr>
            <w:tcW w:w="4771" w:type="dxa"/>
          </w:tcPr>
          <w:p>
            <w:pP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lang w:eastAsia="zh-CN" w:bidi="ar"/>
              </w:rPr>
              <w:t>明显生长不良</w:t>
            </w:r>
            <w:r>
              <w:rPr>
                <w:rFonts w:hint="eastAsia" w:ascii="仿宋_GB2312" w:hAnsi="仿宋_GB2312" w:eastAsia="仿宋_GB2312" w:cs="仿宋_GB2312"/>
                <w:highlight w:val="none"/>
              </w:rPr>
              <w:t>枝叶稀疏，枯枝、断枝较多，树形欠佳</w:t>
            </w:r>
            <w:r>
              <w:rPr>
                <w:rFonts w:hint="eastAsia" w:ascii="仿宋_GB2312" w:hAnsi="仿宋_GB2312" w:eastAsia="仿宋_GB2312" w:cs="仿宋_GB2312"/>
                <w:highlight w:val="none"/>
                <w:lang w:eastAsia="zh-CN"/>
              </w:rPr>
              <w:t>；果树未正常开花结果、</w:t>
            </w:r>
            <w:r>
              <w:rPr>
                <w:rFonts w:hint="eastAsia" w:ascii="仿宋_GB2312" w:hAnsi="仿宋_GB2312" w:eastAsia="仿宋_GB2312" w:cs="仿宋_GB2312"/>
                <w:highlight w:val="none"/>
                <w:vertAlign w:val="baseline"/>
              </w:rPr>
              <w:t>彩色树种季相特征</w:t>
            </w:r>
            <w:r>
              <w:rPr>
                <w:rFonts w:hint="eastAsia" w:ascii="仿宋_GB2312" w:hAnsi="仿宋_GB2312" w:eastAsia="仿宋_GB2312" w:cs="仿宋_GB2312"/>
                <w:highlight w:val="none"/>
                <w:vertAlign w:val="baseline"/>
                <w:lang w:eastAsia="zh-CN"/>
              </w:rPr>
              <w:t>不明显</w:t>
            </w:r>
            <w:r>
              <w:rPr>
                <w:rFonts w:hint="eastAsia" w:ascii="仿宋_GB2312" w:hAnsi="仿宋_GB2312" w:eastAsia="仿宋_GB2312" w:cs="仿宋_GB2312"/>
                <w:highlight w:val="none"/>
                <w:lang w:eastAsia="zh-CN"/>
              </w:rPr>
              <w:t>等，每</w:t>
            </w:r>
            <w:r>
              <w:rPr>
                <w:rFonts w:hint="eastAsia" w:ascii="仿宋_GB2312" w:hAnsi="仿宋_GB2312" w:eastAsia="仿宋_GB2312" w:cs="仿宋_GB2312"/>
                <w:highlight w:val="none"/>
                <w:lang w:val="en-US" w:eastAsia="zh-CN"/>
              </w:rPr>
              <w:t>株扣1分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Merge w:val="continue"/>
            <w:vAlign w:val="center"/>
          </w:tcPr>
          <w:p>
            <w:pPr>
              <w:jc w:val="center"/>
              <w:rPr>
                <w:rFonts w:hint="eastAsia" w:ascii="仿宋_GB2312" w:hAnsi="仿宋_GB2312" w:eastAsia="仿宋_GB2312" w:cs="仿宋_GB2312"/>
                <w:highlight w:val="none"/>
                <w:vertAlign w:val="baseline"/>
              </w:rPr>
            </w:pPr>
          </w:p>
        </w:tc>
        <w:tc>
          <w:tcPr>
            <w:tcW w:w="1061" w:type="dxa"/>
            <w:vMerge w:val="continue"/>
            <w:vAlign w:val="center"/>
          </w:tcPr>
          <w:p>
            <w:pPr>
              <w:jc w:val="center"/>
              <w:rPr>
                <w:rFonts w:hint="eastAsia" w:ascii="仿宋_GB2312" w:hAnsi="仿宋_GB2312" w:eastAsia="仿宋_GB2312" w:cs="仿宋_GB2312"/>
                <w:highlight w:val="none"/>
                <w:vertAlign w:val="baseline"/>
              </w:rPr>
            </w:pPr>
          </w:p>
        </w:tc>
        <w:tc>
          <w:tcPr>
            <w:tcW w:w="1594" w:type="dxa"/>
            <w:vAlign w:val="center"/>
          </w:tcPr>
          <w:p>
            <w:pPr>
              <w:jc w:val="cente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排灌</w:t>
            </w:r>
          </w:p>
        </w:tc>
        <w:tc>
          <w:tcPr>
            <w:tcW w:w="3847" w:type="dxa"/>
          </w:tcPr>
          <w:p>
            <w:pP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植株未出现失水萎蔫和沥涝现象。</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10</w:t>
            </w:r>
          </w:p>
        </w:tc>
        <w:tc>
          <w:tcPr>
            <w:tcW w:w="4771" w:type="dxa"/>
          </w:tcPr>
          <w:p>
            <w:pP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rPr>
              <w:t>出现失水萎蔫和沥涝现象</w:t>
            </w:r>
            <w:r>
              <w:rPr>
                <w:rFonts w:hint="eastAsia" w:ascii="仿宋_GB2312" w:hAnsi="仿宋_GB2312" w:eastAsia="仿宋_GB2312" w:cs="仿宋_GB2312"/>
                <w:highlight w:val="none"/>
                <w:vertAlign w:val="baseline"/>
                <w:lang w:eastAsia="zh-CN"/>
              </w:rPr>
              <w:t>，每</w:t>
            </w:r>
            <w:r>
              <w:rPr>
                <w:rFonts w:hint="eastAsia" w:ascii="仿宋_GB2312" w:hAnsi="仿宋_GB2312" w:eastAsia="仿宋_GB2312" w:cs="仿宋_GB2312"/>
                <w:highlight w:val="none"/>
                <w:vertAlign w:val="baseline"/>
                <w:lang w:val="en-US" w:eastAsia="zh-CN"/>
              </w:rPr>
              <w:t>株扣1分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vAlign w:val="center"/>
          </w:tcPr>
          <w:p>
            <w:pPr>
              <w:jc w:val="center"/>
              <w:rPr>
                <w:rFonts w:hint="eastAsia" w:ascii="仿宋_GB2312" w:hAnsi="仿宋_GB2312" w:eastAsia="仿宋_GB2312" w:cs="仿宋_GB2312"/>
                <w:highlight w:val="none"/>
                <w:vertAlign w:val="baseline"/>
              </w:rPr>
            </w:pPr>
          </w:p>
        </w:tc>
        <w:tc>
          <w:tcPr>
            <w:tcW w:w="1061" w:type="dxa"/>
            <w:vMerge w:val="continue"/>
            <w:vAlign w:val="center"/>
          </w:tcPr>
          <w:p>
            <w:pPr>
              <w:jc w:val="center"/>
              <w:rPr>
                <w:rFonts w:hint="eastAsia" w:ascii="仿宋_GB2312" w:hAnsi="仿宋_GB2312" w:eastAsia="仿宋_GB2312" w:cs="仿宋_GB2312"/>
                <w:highlight w:val="none"/>
                <w:vertAlign w:val="baseline"/>
              </w:rPr>
            </w:pPr>
          </w:p>
        </w:tc>
        <w:tc>
          <w:tcPr>
            <w:tcW w:w="1594" w:type="dxa"/>
            <w:vAlign w:val="center"/>
          </w:tcPr>
          <w:p>
            <w:pPr>
              <w:jc w:val="center"/>
              <w:rPr>
                <w:rFonts w:hint="eastAsia" w:ascii="仿宋_GB2312" w:hAnsi="仿宋_GB2312" w:eastAsia="仿宋_GB2312" w:cs="仿宋_GB2312"/>
                <w:highlight w:val="none"/>
                <w:vertAlign w:val="baseline"/>
                <w:lang w:eastAsia="zh-CN"/>
              </w:rPr>
            </w:pPr>
            <w:r>
              <w:rPr>
                <w:rFonts w:hint="eastAsia" w:ascii="仿宋_GB2312" w:hAnsi="仿宋_GB2312" w:eastAsia="仿宋_GB2312" w:cs="仿宋_GB2312"/>
                <w:highlight w:val="none"/>
                <w:vertAlign w:val="baseline"/>
                <w:lang w:eastAsia="zh-CN"/>
              </w:rPr>
              <w:t>浇水、施肥、修剪、中耕除草</w:t>
            </w:r>
          </w:p>
        </w:tc>
        <w:tc>
          <w:tcPr>
            <w:tcW w:w="3847" w:type="dxa"/>
          </w:tcPr>
          <w:p>
            <w:pP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eastAsia="zh-CN"/>
              </w:rPr>
              <w:t>不同树木全年浇水</w:t>
            </w:r>
            <w:r>
              <w:rPr>
                <w:rFonts w:hint="eastAsia" w:ascii="仿宋_GB2312" w:hAnsi="仿宋_GB2312" w:eastAsia="仿宋_GB2312" w:cs="仿宋_GB2312"/>
                <w:highlight w:val="none"/>
                <w:vertAlign w:val="baseline"/>
                <w:lang w:val="en-US" w:eastAsia="zh-CN"/>
              </w:rPr>
              <w:t>10-15次、施肥2次、修剪2-5次、除草4次</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25</w:t>
            </w:r>
          </w:p>
        </w:tc>
        <w:tc>
          <w:tcPr>
            <w:tcW w:w="4771" w:type="dxa"/>
          </w:tcPr>
          <w:p>
            <w:pPr>
              <w:rPr>
                <w:rFonts w:hint="eastAsia" w:ascii="仿宋_GB2312" w:hAnsi="仿宋_GB2312" w:eastAsia="仿宋_GB2312" w:cs="仿宋_GB2312"/>
                <w:highlight w:val="none"/>
                <w:lang w:eastAsia="zh-CN" w:bidi="ar"/>
              </w:rPr>
            </w:pPr>
            <w:r>
              <w:rPr>
                <w:rFonts w:hint="eastAsia" w:ascii="仿宋_GB2312" w:hAnsi="仿宋_GB2312" w:eastAsia="仿宋_GB2312" w:cs="仿宋_GB2312"/>
                <w:highlight w:val="none"/>
                <w:lang w:val="en-US" w:eastAsia="zh-CN" w:bidi="ar"/>
              </w:rPr>
              <w:t>未按计划服务次数缺1次扣2分。（</w:t>
            </w:r>
            <w:r>
              <w:rPr>
                <w:rFonts w:hint="eastAsia" w:ascii="仿宋_GB2312" w:hAnsi="仿宋_GB2312" w:eastAsia="仿宋_GB2312" w:cs="仿宋_GB2312"/>
                <w:highlight w:val="none"/>
                <w:vertAlign w:val="baseline"/>
                <w:lang w:eastAsia="zh-CN"/>
              </w:rPr>
              <w:t>全年天气异常次数可以</w:t>
            </w:r>
            <w:r>
              <w:rPr>
                <w:rFonts w:hint="eastAsia" w:ascii="仿宋_GB2312" w:hAnsi="仿宋_GB2312" w:eastAsia="仿宋_GB2312" w:cs="仿宋_GB2312"/>
                <w:highlight w:val="none"/>
                <w:vertAlign w:val="baseline"/>
              </w:rPr>
              <w:t>根据实际情况酌情减少扣分</w:t>
            </w:r>
            <w:r>
              <w:rPr>
                <w:rFonts w:hint="eastAsia" w:ascii="仿宋_GB2312" w:hAnsi="仿宋_GB2312" w:eastAsia="仿宋_GB2312" w:cs="仿宋_GB2312"/>
                <w:highlight w:val="none"/>
                <w:lang w:val="en-US" w:eastAsia="zh-CN" w:bidi="ar"/>
              </w:rPr>
              <w:t>）</w:t>
            </w:r>
          </w:p>
        </w:tc>
        <w:tc>
          <w:tcPr>
            <w:tcW w:w="1140" w:type="dxa"/>
          </w:tcPr>
          <w:p>
            <w:pPr>
              <w:rPr>
                <w:rFonts w:hint="eastAsia" w:ascii="仿宋_GB2312" w:hAnsi="仿宋_GB2312" w:eastAsia="仿宋_GB2312" w:cs="仿宋_GB231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765" w:type="dxa"/>
            <w:vMerge w:val="continue"/>
            <w:vAlign w:val="center"/>
          </w:tcPr>
          <w:p>
            <w:pPr>
              <w:jc w:val="center"/>
              <w:rPr>
                <w:rFonts w:hint="eastAsia" w:ascii="仿宋_GB2312" w:hAnsi="仿宋_GB2312" w:eastAsia="仿宋_GB2312" w:cs="仿宋_GB2312"/>
                <w:highlight w:val="none"/>
                <w:vertAlign w:val="baseline"/>
              </w:rPr>
            </w:pPr>
          </w:p>
        </w:tc>
        <w:tc>
          <w:tcPr>
            <w:tcW w:w="1061" w:type="dxa"/>
            <w:vMerge w:val="continue"/>
            <w:vAlign w:val="center"/>
          </w:tcPr>
          <w:p>
            <w:pPr>
              <w:jc w:val="center"/>
              <w:rPr>
                <w:rFonts w:hint="eastAsia" w:ascii="仿宋_GB2312" w:hAnsi="仿宋_GB2312" w:eastAsia="仿宋_GB2312" w:cs="仿宋_GB2312"/>
                <w:highlight w:val="none"/>
                <w:vertAlign w:val="baseline"/>
              </w:rPr>
            </w:pPr>
          </w:p>
        </w:tc>
        <w:tc>
          <w:tcPr>
            <w:tcW w:w="1594" w:type="dxa"/>
            <w:vAlign w:val="center"/>
          </w:tcPr>
          <w:p>
            <w:pPr>
              <w:jc w:val="cente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有害生物防治</w:t>
            </w:r>
          </w:p>
        </w:tc>
        <w:tc>
          <w:tcPr>
            <w:tcW w:w="3847" w:type="dxa"/>
          </w:tcPr>
          <w:p>
            <w:pP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1.</w:t>
            </w:r>
            <w:r>
              <w:rPr>
                <w:rFonts w:hint="eastAsia" w:ascii="仿宋_GB2312" w:hAnsi="仿宋_GB2312" w:eastAsia="仿宋_GB2312" w:cs="仿宋_GB2312"/>
                <w:highlight w:val="none"/>
                <w:vertAlign w:val="baseline"/>
              </w:rPr>
              <w:t>基本无危害状；</w:t>
            </w:r>
          </w:p>
          <w:p>
            <w:pP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w:t>
            </w:r>
            <w:r>
              <w:rPr>
                <w:rFonts w:hint="eastAsia" w:ascii="仿宋_GB2312" w:hAnsi="仿宋_GB2312" w:eastAsia="仿宋_GB2312" w:cs="仿宋_GB2312"/>
                <w:highlight w:val="none"/>
                <w:vertAlign w:val="baseline"/>
                <w:lang w:eastAsia="zh-CN"/>
              </w:rPr>
              <w:t>不同品种全年防治次数</w:t>
            </w:r>
            <w:r>
              <w:rPr>
                <w:rFonts w:hint="eastAsia" w:ascii="仿宋_GB2312" w:hAnsi="仿宋_GB2312" w:eastAsia="仿宋_GB2312" w:cs="仿宋_GB2312"/>
                <w:highlight w:val="none"/>
                <w:vertAlign w:val="baseline"/>
                <w:lang w:val="en-US" w:eastAsia="zh-CN"/>
              </w:rPr>
              <w:t>8-10次</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15</w:t>
            </w:r>
          </w:p>
        </w:tc>
        <w:tc>
          <w:tcPr>
            <w:tcW w:w="4771" w:type="dxa"/>
          </w:tcPr>
          <w:p>
            <w:pPr>
              <w:numPr>
                <w:ilvl w:val="0"/>
                <w:numId w:val="0"/>
              </w:numPr>
              <w:rPr>
                <w:rFonts w:hint="eastAsia" w:ascii="仿宋_GB2312" w:hAnsi="仿宋_GB2312" w:eastAsia="仿宋_GB2312" w:cs="仿宋_GB2312"/>
                <w:highlight w:val="none"/>
                <w:lang w:eastAsia="zh-CN" w:bidi="ar"/>
              </w:rPr>
            </w:pPr>
            <w:r>
              <w:rPr>
                <w:rFonts w:hint="eastAsia" w:ascii="仿宋_GB2312" w:hAnsi="仿宋_GB2312" w:eastAsia="仿宋_GB2312" w:cs="仿宋_GB2312"/>
                <w:highlight w:val="none"/>
                <w:lang w:val="en-US" w:eastAsia="zh-CN" w:bidi="ar"/>
              </w:rPr>
              <w:t>1.</w:t>
            </w:r>
            <w:r>
              <w:rPr>
                <w:rFonts w:hint="eastAsia" w:ascii="仿宋_GB2312" w:hAnsi="仿宋_GB2312" w:eastAsia="仿宋_GB2312" w:cs="仿宋_GB2312"/>
                <w:highlight w:val="none"/>
                <w:lang w:eastAsia="zh-CN" w:bidi="ar"/>
              </w:rPr>
              <w:t>病虫害防治不力，对植物造成损害。</w:t>
            </w:r>
            <w:r>
              <w:rPr>
                <w:rFonts w:hint="eastAsia" w:ascii="仿宋_GB2312" w:hAnsi="仿宋_GB2312" w:eastAsia="仿宋_GB2312" w:cs="仿宋_GB2312"/>
                <w:highlight w:val="none"/>
                <w:lang w:val="en-US" w:eastAsia="zh-CN" w:bidi="ar"/>
              </w:rPr>
              <w:t>每株</w:t>
            </w:r>
            <w:r>
              <w:rPr>
                <w:rFonts w:hint="eastAsia" w:ascii="仿宋_GB2312" w:hAnsi="仿宋_GB2312" w:eastAsia="仿宋_GB2312" w:cs="仿宋_GB2312"/>
                <w:highlight w:val="none"/>
                <w:lang w:eastAsia="zh-CN" w:bidi="ar"/>
              </w:rPr>
              <w:t>扣</w:t>
            </w:r>
            <w:r>
              <w:rPr>
                <w:rFonts w:hint="eastAsia" w:ascii="仿宋_GB2312" w:hAnsi="仿宋_GB2312" w:eastAsia="仿宋_GB2312" w:cs="仿宋_GB2312"/>
                <w:highlight w:val="none"/>
                <w:lang w:val="en-US" w:eastAsia="zh-CN" w:bidi="ar"/>
              </w:rPr>
              <w:t>0.5</w:t>
            </w:r>
            <w:r>
              <w:rPr>
                <w:rFonts w:hint="eastAsia" w:ascii="仿宋_GB2312" w:hAnsi="仿宋_GB2312" w:eastAsia="仿宋_GB2312" w:cs="仿宋_GB2312"/>
                <w:highlight w:val="none"/>
                <w:lang w:eastAsia="zh-CN" w:bidi="ar"/>
              </w:rPr>
              <w:t>分</w:t>
            </w:r>
          </w:p>
          <w:p>
            <w:pPr>
              <w:numPr>
                <w:ilvl w:val="0"/>
                <w:numId w:val="0"/>
              </w:numPr>
              <w:rPr>
                <w:rFonts w:hint="eastAsia" w:ascii="仿宋_GB2312" w:hAnsi="仿宋_GB2312" w:eastAsia="仿宋_GB2312" w:cs="仿宋_GB2312"/>
                <w:highlight w:val="none"/>
                <w:lang w:val="en-US" w:eastAsia="zh-CN" w:bidi="ar"/>
              </w:rPr>
            </w:pPr>
            <w:r>
              <w:rPr>
                <w:rFonts w:hint="eastAsia" w:ascii="仿宋_GB2312" w:hAnsi="仿宋_GB2312" w:eastAsia="仿宋_GB2312" w:cs="仿宋_GB2312"/>
                <w:highlight w:val="none"/>
                <w:lang w:val="en-US" w:eastAsia="zh-CN" w:bidi="ar"/>
              </w:rPr>
              <w:t>2.未按计划防治次数缺1次扣2分</w:t>
            </w:r>
          </w:p>
          <w:p>
            <w:pPr>
              <w:numPr>
                <w:ilvl w:val="0"/>
                <w:numId w:val="0"/>
              </w:numPr>
              <w:rPr>
                <w:rFonts w:hint="eastAsia" w:ascii="仿宋_GB2312" w:hAnsi="仿宋_GB2312" w:eastAsia="仿宋_GB2312" w:cs="仿宋_GB2312"/>
                <w:highlight w:val="none"/>
                <w:lang w:val="en-US" w:eastAsia="zh-CN" w:bidi="ar"/>
              </w:rPr>
            </w:pPr>
            <w:r>
              <w:rPr>
                <w:rFonts w:hint="eastAsia" w:ascii="仿宋_GB2312" w:hAnsi="仿宋_GB2312" w:eastAsia="仿宋_GB2312" w:cs="仿宋_GB2312"/>
                <w:highlight w:val="none"/>
                <w:lang w:val="en-US" w:eastAsia="zh-CN" w:bidi="ar"/>
              </w:rPr>
              <w:t>3.园林树木无蛀</w:t>
            </w:r>
            <w:r>
              <w:rPr>
                <w:rFonts w:hint="eastAsia" w:ascii="仿宋_GB2312" w:hAnsi="仿宋_GB2312" w:eastAsia="仿宋_GB2312" w:cs="仿宋_GB2312"/>
                <w:highlight w:val="none"/>
                <w:lang w:bidi="ar"/>
              </w:rPr>
              <w:t>干害虫的</w:t>
            </w:r>
            <w:r>
              <w:rPr>
                <w:rFonts w:hint="eastAsia" w:ascii="仿宋_GB2312" w:hAnsi="仿宋_GB2312" w:eastAsia="仿宋_GB2312" w:cs="仿宋_GB2312"/>
                <w:highlight w:val="none"/>
                <w:lang w:val="en-US" w:eastAsia="zh-CN" w:bidi="ar"/>
              </w:rPr>
              <w:t>活卵</w:t>
            </w:r>
            <w:r>
              <w:rPr>
                <w:rFonts w:hint="eastAsia" w:ascii="仿宋_GB2312" w:hAnsi="仿宋_GB2312" w:eastAsia="仿宋_GB2312" w:cs="仿宋_GB2312"/>
                <w:highlight w:val="none"/>
                <w:lang w:bidi="ar"/>
              </w:rPr>
              <w:t>、</w:t>
            </w:r>
            <w:r>
              <w:rPr>
                <w:rFonts w:hint="eastAsia" w:ascii="仿宋_GB2312" w:hAnsi="仿宋_GB2312" w:eastAsia="仿宋_GB2312" w:cs="仿宋_GB2312"/>
                <w:highlight w:val="none"/>
                <w:lang w:val="en-US" w:eastAsia="zh-CN" w:bidi="ar"/>
              </w:rPr>
              <w:t>活</w:t>
            </w:r>
            <w:r>
              <w:rPr>
                <w:rFonts w:hint="eastAsia" w:ascii="仿宋_GB2312" w:hAnsi="仿宋_GB2312" w:eastAsia="仿宋_GB2312" w:cs="仿宋_GB2312"/>
                <w:highlight w:val="none"/>
                <w:lang w:bidi="ar"/>
              </w:rPr>
              <w:t>虫</w:t>
            </w:r>
            <w:r>
              <w:rPr>
                <w:rFonts w:hint="eastAsia" w:ascii="仿宋_GB2312" w:hAnsi="仿宋_GB2312" w:eastAsia="仿宋_GB2312" w:cs="仿宋_GB2312"/>
                <w:highlight w:val="none"/>
                <w:lang w:val="en-US" w:eastAsia="zh-CN" w:bidi="ar"/>
              </w:rPr>
              <w:t>，发现后每处(株）扣0.5分</w:t>
            </w:r>
          </w:p>
          <w:p>
            <w:pPr>
              <w:numPr>
                <w:ilvl w:val="0"/>
                <w:numId w:val="0"/>
              </w:numPr>
              <w:rPr>
                <w:rFonts w:hint="eastAsia" w:ascii="仿宋_GB2312" w:hAnsi="仿宋_GB2312" w:eastAsia="仿宋_GB2312" w:cs="仿宋_GB2312"/>
                <w:highlight w:val="none"/>
                <w:lang w:val="en-US" w:eastAsia="zh-CN" w:bidi="ar"/>
              </w:rPr>
            </w:pPr>
            <w:r>
              <w:rPr>
                <w:rFonts w:hint="eastAsia" w:ascii="仿宋_GB2312" w:hAnsi="仿宋_GB2312" w:eastAsia="仿宋_GB2312" w:cs="仿宋_GB2312"/>
                <w:highlight w:val="none"/>
                <w:lang w:val="en-US" w:eastAsia="zh-CN" w:bidi="ar"/>
              </w:rPr>
              <w:t>4.叶片上无虫粪、虫网，被虫咬的叶片每株不得超过2%，</w:t>
            </w:r>
            <w:bookmarkStart w:id="30" w:name="OLE_LINK1"/>
            <w:bookmarkStart w:id="31" w:name="OLE_LINK2"/>
            <w:r>
              <w:rPr>
                <w:rFonts w:hint="eastAsia" w:ascii="仿宋_GB2312" w:hAnsi="仿宋_GB2312" w:eastAsia="仿宋_GB2312" w:cs="仿宋_GB2312"/>
                <w:highlight w:val="none"/>
                <w:lang w:val="en-US" w:eastAsia="zh-CN" w:bidi="ar"/>
              </w:rPr>
              <w:t>如有不符合项每处扣0.1分</w:t>
            </w:r>
            <w:bookmarkEnd w:id="30"/>
            <w:bookmarkEnd w:id="31"/>
          </w:p>
          <w:p>
            <w:pPr>
              <w:numPr>
                <w:ilvl w:val="0"/>
                <w:numId w:val="0"/>
              </w:numPr>
              <w:rPr>
                <w:rFonts w:hint="eastAsia" w:ascii="仿宋_GB2312" w:hAnsi="仿宋_GB2312" w:eastAsia="仿宋_GB2312" w:cs="仿宋_GB2312"/>
                <w:highlight w:val="none"/>
                <w:lang w:val="en-US" w:eastAsia="zh-CN" w:bidi="ar"/>
              </w:rPr>
            </w:pPr>
            <w:r>
              <w:rPr>
                <w:rFonts w:hint="eastAsia" w:ascii="仿宋_GB2312" w:hAnsi="仿宋_GB2312" w:eastAsia="仿宋_GB2312" w:cs="仿宋_GB2312"/>
                <w:highlight w:val="none"/>
                <w:lang w:val="en-US" w:eastAsia="zh-CN" w:bidi="ar"/>
              </w:rPr>
              <w:t>5</w:t>
            </w:r>
            <w:r>
              <w:rPr>
                <w:rFonts w:hint="eastAsia" w:ascii="仿宋_GB2312" w:hAnsi="仿宋_GB2312" w:eastAsia="仿宋_GB2312" w:cs="仿宋_GB2312"/>
                <w:highlight w:val="none"/>
                <w:lang w:bidi="ar"/>
              </w:rPr>
              <w:t>.</w:t>
            </w:r>
            <w:r>
              <w:rPr>
                <w:rFonts w:hint="eastAsia" w:ascii="仿宋_GB2312" w:hAnsi="仿宋_GB2312" w:eastAsia="仿宋_GB2312" w:cs="仿宋_GB2312"/>
                <w:highlight w:val="none"/>
                <w:lang w:val="en-US" w:eastAsia="zh-CN" w:bidi="ar"/>
              </w:rPr>
              <w:t>园林树木主干、主枝上平均每</w:t>
            </w:r>
            <w:r>
              <w:rPr>
                <w:rFonts w:hint="eastAsia" w:ascii="___WRD_EMBED_SUB_40" w:hAnsi="___WRD_EMBED_SUB_40" w:eastAsia="___WRD_EMBED_SUB_40" w:cs="___WRD_EMBED_SUB_40"/>
                <w:color w:val="FF0000"/>
                <w:highlight w:val="none"/>
                <w:lang w:bidi="ar"/>
              </w:rPr>
              <w:t>1</w:t>
            </w:r>
            <w:r>
              <w:rPr>
                <w:rFonts w:ascii="___WRD_EMBED_SUB_40" w:hAnsi="___WRD_EMBED_SUB_40" w:eastAsia="___WRD_EMBED_SUB_40" w:cs="___WRD_EMBED_SUB_40"/>
                <w:color w:val="FF0000"/>
                <w:highlight w:val="none"/>
                <w:lang w:bidi="ar"/>
              </w:rPr>
              <w:t>00cm</w:t>
            </w:r>
            <w:r>
              <w:rPr>
                <w:rFonts w:ascii="___WRD_EMBED_SUB_40" w:hAnsi="___WRD_EMBED_SUB_40" w:eastAsia="___WRD_EMBED_SUB_40" w:cs="___WRD_EMBED_SUB_40"/>
                <w:color w:val="FF0000"/>
                <w:highlight w:val="none"/>
                <w:vertAlign w:val="superscript"/>
                <w:lang w:bidi="ar"/>
              </w:rPr>
              <w:t>2</w:t>
            </w:r>
            <w:r>
              <w:rPr>
                <w:rFonts w:hint="eastAsia" w:ascii="仿宋_GB2312" w:hAnsi="仿宋_GB2312" w:eastAsia="仿宋_GB2312" w:cs="仿宋_GB2312"/>
                <w:highlight w:val="none"/>
                <w:lang w:val="en-US" w:eastAsia="zh-CN" w:bidi="ar"/>
              </w:rPr>
              <w:t>，介壳虫的活虫数不超过1头，较细枝条上平均每30cm不超过2头，且平均被害株数不超过5% 如有不符合项每处扣0.1分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267" w:type="dxa"/>
            <w:gridSpan w:val="4"/>
            <w:vAlign w:val="center"/>
          </w:tcPr>
          <w:p>
            <w:pPr>
              <w:jc w:val="center"/>
              <w:rPr>
                <w:rFonts w:hint="default" w:ascii="仿宋_GB2312" w:hAnsi="仿宋_GB2312" w:eastAsia="仿宋_GB2312" w:cs="仿宋_GB2312"/>
                <w:b/>
                <w:bCs/>
                <w:highlight w:val="none"/>
                <w:vertAlign w:val="baseline"/>
                <w:lang w:val="en-US" w:eastAsia="zh-CN"/>
              </w:rPr>
            </w:pPr>
            <w:r>
              <w:rPr>
                <w:rFonts w:hint="eastAsia" w:ascii="仿宋_GB2312" w:hAnsi="仿宋_GB2312" w:eastAsia="仿宋_GB2312" w:cs="仿宋_GB2312"/>
                <w:b/>
                <w:bCs/>
                <w:highlight w:val="none"/>
                <w:vertAlign w:val="baseline"/>
                <w:lang w:val="en-US" w:eastAsia="zh-CN"/>
              </w:rPr>
              <w:t>权重</w:t>
            </w:r>
          </w:p>
        </w:tc>
        <w:tc>
          <w:tcPr>
            <w:tcW w:w="1274" w:type="dxa"/>
            <w:vAlign w:val="center"/>
          </w:tcPr>
          <w:p>
            <w:pPr>
              <w:jc w:val="center"/>
              <w:rPr>
                <w:rFonts w:hint="default" w:ascii="仿宋_GB2312" w:hAnsi="仿宋_GB2312" w:eastAsia="仿宋_GB2312" w:cs="仿宋_GB2312"/>
                <w:b/>
                <w:bCs/>
                <w:highlight w:val="none"/>
                <w:vertAlign w:val="baseline"/>
                <w:lang w:val="en-US" w:eastAsia="zh-CN"/>
              </w:rPr>
            </w:pPr>
            <w:r>
              <w:rPr>
                <w:rFonts w:hint="eastAsia" w:ascii="仿宋_GB2312" w:hAnsi="仿宋_GB2312" w:eastAsia="仿宋_GB2312" w:cs="仿宋_GB2312"/>
                <w:b/>
                <w:bCs/>
                <w:highlight w:val="none"/>
                <w:vertAlign w:val="baseline"/>
                <w:lang w:val="en-US" w:eastAsia="zh-CN"/>
              </w:rPr>
              <w:t>25%</w:t>
            </w:r>
          </w:p>
        </w:tc>
        <w:tc>
          <w:tcPr>
            <w:tcW w:w="4771" w:type="dxa"/>
          </w:tcPr>
          <w:p>
            <w:pPr>
              <w:numPr>
                <w:ilvl w:val="0"/>
                <w:numId w:val="0"/>
              </w:numPr>
              <w:jc w:val="center"/>
              <w:rPr>
                <w:rFonts w:hint="eastAsia" w:ascii="仿宋_GB2312" w:hAnsi="仿宋_GB2312" w:eastAsia="仿宋_GB2312" w:cs="仿宋_GB2312"/>
                <w:b/>
                <w:bCs/>
                <w:highlight w:val="none"/>
                <w:lang w:val="en-US" w:eastAsia="zh-CN" w:bidi="ar"/>
              </w:rPr>
            </w:pPr>
            <w:r>
              <w:rPr>
                <w:rFonts w:hint="eastAsia" w:ascii="仿宋_GB2312" w:hAnsi="仿宋_GB2312" w:eastAsia="仿宋_GB2312" w:cs="仿宋_GB2312"/>
                <w:b/>
                <w:bCs/>
                <w:highlight w:val="none"/>
                <w:lang w:val="en-US" w:eastAsia="zh-CN" w:bidi="ar"/>
              </w:rPr>
              <w:t>权重分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5" w:type="dxa"/>
            <w:vMerge w:val="restart"/>
            <w:vAlign w:val="center"/>
          </w:tcPr>
          <w:p>
            <w:pPr>
              <w:jc w:val="center"/>
              <w:rPr>
                <w:rFonts w:hint="eastAsia" w:ascii="仿宋_GB2312" w:hAnsi="仿宋_GB2312" w:eastAsia="仿宋_GB2312" w:cs="仿宋_GB2312"/>
                <w:highlight w:val="none"/>
                <w:vertAlign w:val="baseline"/>
                <w:lang w:val="en-US" w:eastAsia="zh-CN"/>
              </w:rPr>
            </w:pPr>
          </w:p>
          <w:p>
            <w:pPr>
              <w:jc w:val="center"/>
              <w:rPr>
                <w:rFonts w:hint="eastAsia" w:ascii="仿宋_GB2312" w:hAnsi="仿宋_GB2312" w:eastAsia="仿宋_GB2312" w:cs="仿宋_GB2312"/>
                <w:highlight w:val="none"/>
                <w:vertAlign w:val="baseline"/>
                <w:lang w:val="en-US" w:eastAsia="zh-CN"/>
              </w:rPr>
            </w:pPr>
          </w:p>
          <w:p>
            <w:pPr>
              <w:jc w:val="center"/>
              <w:rPr>
                <w:rFonts w:hint="eastAsia" w:ascii="仿宋_GB2312" w:hAnsi="仿宋_GB2312" w:eastAsia="仿宋_GB2312" w:cs="仿宋_GB2312"/>
                <w:highlight w:val="none"/>
                <w:vertAlign w:val="baseline"/>
                <w:lang w:val="en-US" w:eastAsia="zh-CN"/>
              </w:rPr>
            </w:pPr>
          </w:p>
          <w:p>
            <w:pPr>
              <w:jc w:val="center"/>
              <w:rPr>
                <w:rFonts w:hint="eastAsia" w:ascii="仿宋_GB2312" w:hAnsi="仿宋_GB2312" w:eastAsia="仿宋_GB2312" w:cs="仿宋_GB2312"/>
                <w:highlight w:val="none"/>
                <w:vertAlign w:val="baseline"/>
                <w:lang w:val="en-US" w:eastAsia="zh-CN"/>
              </w:rPr>
            </w:pPr>
          </w:p>
          <w:p>
            <w:pPr>
              <w:jc w:val="center"/>
              <w:rPr>
                <w:rFonts w:hint="eastAsia" w:ascii="仿宋_GB2312" w:hAnsi="仿宋_GB2312" w:eastAsia="仿宋_GB2312" w:cs="仿宋_GB2312"/>
                <w:highlight w:val="none"/>
                <w:vertAlign w:val="baseline"/>
                <w:lang w:val="en-US" w:eastAsia="zh-CN"/>
              </w:rPr>
            </w:pPr>
          </w:p>
          <w:p>
            <w:pPr>
              <w:jc w:val="center"/>
              <w:rPr>
                <w:rFonts w:hint="eastAsia" w:ascii="仿宋_GB2312" w:hAnsi="仿宋_GB2312" w:eastAsia="仿宋_GB2312" w:cs="仿宋_GB2312"/>
                <w:highlight w:val="none"/>
                <w:vertAlign w:val="baseline"/>
                <w:lang w:val="en-US" w:eastAsia="zh-CN"/>
              </w:rPr>
            </w:pPr>
          </w:p>
          <w:p>
            <w:pPr>
              <w:jc w:val="center"/>
              <w:rPr>
                <w:rFonts w:hint="eastAsia" w:ascii="仿宋_GB2312" w:hAnsi="仿宋_GB2312" w:eastAsia="仿宋_GB2312" w:cs="仿宋_GB2312"/>
                <w:highlight w:val="none"/>
                <w:vertAlign w:val="baseline"/>
                <w:lang w:val="en-US" w:eastAsia="zh-CN"/>
              </w:rPr>
            </w:pPr>
          </w:p>
          <w:p>
            <w:pPr>
              <w:jc w:val="center"/>
              <w:rPr>
                <w:rFonts w:hint="eastAsia" w:ascii="仿宋_GB2312" w:hAnsi="仿宋_GB2312" w:eastAsia="仿宋_GB2312" w:cs="仿宋_GB2312"/>
                <w:highlight w:val="none"/>
                <w:vertAlign w:val="baseline"/>
                <w:lang w:val="en-US" w:eastAsia="zh-CN"/>
              </w:rPr>
            </w:pPr>
          </w:p>
          <w:p>
            <w:pPr>
              <w:jc w:val="center"/>
              <w:rPr>
                <w:rFonts w:hint="eastAsia" w:ascii="仿宋_GB2312" w:hAnsi="仿宋_GB2312" w:eastAsia="仿宋_GB2312" w:cs="仿宋_GB2312"/>
                <w:highlight w:val="none"/>
                <w:vertAlign w:val="baseline"/>
                <w:lang w:val="en-US" w:eastAsia="zh-CN"/>
              </w:rPr>
            </w:pPr>
          </w:p>
          <w:p>
            <w:pPr>
              <w:jc w:val="center"/>
              <w:rPr>
                <w:rFonts w:hint="eastAsia" w:ascii="仿宋_GB2312" w:hAnsi="仿宋_GB2312" w:eastAsia="仿宋_GB2312" w:cs="仿宋_GB2312"/>
                <w:highlight w:val="none"/>
                <w:vertAlign w:val="baseline"/>
                <w:lang w:val="en-US" w:eastAsia="zh-CN"/>
              </w:rPr>
            </w:pPr>
          </w:p>
          <w:p>
            <w:pPr>
              <w:jc w:val="center"/>
              <w:rPr>
                <w:rFonts w:hint="eastAsia" w:ascii="仿宋_GB2312" w:hAnsi="仿宋_GB2312" w:eastAsia="仿宋_GB2312" w:cs="仿宋_GB2312"/>
                <w:highlight w:val="none"/>
                <w:vertAlign w:val="baseline"/>
                <w:lang w:val="en-US" w:eastAsia="zh-CN"/>
              </w:rPr>
            </w:pPr>
          </w:p>
          <w:p>
            <w:pPr>
              <w:jc w:val="center"/>
              <w:rPr>
                <w:rFonts w:hint="eastAsia" w:ascii="仿宋_GB2312" w:hAnsi="仿宋_GB2312" w:eastAsia="仿宋_GB2312" w:cs="仿宋_GB2312"/>
                <w:highlight w:val="none"/>
                <w:vertAlign w:val="baseline"/>
                <w:lang w:val="en-US" w:eastAsia="zh-CN"/>
              </w:rPr>
            </w:pPr>
          </w:p>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w:t>
            </w:r>
          </w:p>
        </w:tc>
        <w:tc>
          <w:tcPr>
            <w:tcW w:w="1061" w:type="dxa"/>
            <w:vMerge w:val="restart"/>
            <w:vAlign w:val="center"/>
          </w:tcPr>
          <w:p>
            <w:pPr>
              <w:jc w:val="center"/>
              <w:rPr>
                <w:rFonts w:hint="eastAsia" w:ascii="仿宋_GB2312" w:hAnsi="仿宋_GB2312" w:eastAsia="仿宋_GB2312" w:cs="仿宋_GB2312"/>
                <w:highlight w:val="none"/>
                <w:vertAlign w:val="baseline"/>
                <w:lang w:eastAsia="zh-CN"/>
              </w:rPr>
            </w:pPr>
          </w:p>
          <w:p>
            <w:pPr>
              <w:jc w:val="center"/>
              <w:rPr>
                <w:rFonts w:hint="eastAsia" w:ascii="仿宋_GB2312" w:hAnsi="仿宋_GB2312" w:eastAsia="仿宋_GB2312" w:cs="仿宋_GB2312"/>
                <w:highlight w:val="none"/>
                <w:vertAlign w:val="baseline"/>
                <w:lang w:eastAsia="zh-CN"/>
              </w:rPr>
            </w:pPr>
          </w:p>
          <w:p>
            <w:pPr>
              <w:jc w:val="center"/>
              <w:rPr>
                <w:rFonts w:hint="eastAsia" w:ascii="仿宋_GB2312" w:hAnsi="仿宋_GB2312" w:eastAsia="仿宋_GB2312" w:cs="仿宋_GB2312"/>
                <w:highlight w:val="none"/>
                <w:vertAlign w:val="baseline"/>
                <w:lang w:eastAsia="zh-CN"/>
              </w:rPr>
            </w:pPr>
          </w:p>
          <w:p>
            <w:pPr>
              <w:jc w:val="center"/>
              <w:rPr>
                <w:rFonts w:hint="eastAsia" w:ascii="仿宋_GB2312" w:hAnsi="仿宋_GB2312" w:eastAsia="仿宋_GB2312" w:cs="仿宋_GB2312"/>
                <w:highlight w:val="none"/>
                <w:vertAlign w:val="baseline"/>
                <w:lang w:eastAsia="zh-CN"/>
              </w:rPr>
            </w:pPr>
          </w:p>
          <w:p>
            <w:pPr>
              <w:jc w:val="center"/>
              <w:rPr>
                <w:rFonts w:hint="eastAsia" w:ascii="仿宋_GB2312" w:hAnsi="仿宋_GB2312" w:eastAsia="仿宋_GB2312" w:cs="仿宋_GB2312"/>
                <w:highlight w:val="none"/>
                <w:vertAlign w:val="baseline"/>
                <w:lang w:eastAsia="zh-CN"/>
              </w:rPr>
            </w:pPr>
          </w:p>
          <w:p>
            <w:pPr>
              <w:jc w:val="center"/>
              <w:rPr>
                <w:rFonts w:hint="eastAsia" w:ascii="仿宋_GB2312" w:hAnsi="仿宋_GB2312" w:eastAsia="仿宋_GB2312" w:cs="仿宋_GB2312"/>
                <w:highlight w:val="none"/>
                <w:vertAlign w:val="baseline"/>
                <w:lang w:eastAsia="zh-CN"/>
              </w:rPr>
            </w:pPr>
          </w:p>
          <w:p>
            <w:pPr>
              <w:jc w:val="center"/>
              <w:rPr>
                <w:rFonts w:hint="eastAsia" w:ascii="仿宋_GB2312" w:hAnsi="仿宋_GB2312" w:eastAsia="仿宋_GB2312" w:cs="仿宋_GB2312"/>
                <w:highlight w:val="none"/>
                <w:vertAlign w:val="baseline"/>
                <w:lang w:eastAsia="zh-CN"/>
              </w:rPr>
            </w:pPr>
          </w:p>
          <w:p>
            <w:pPr>
              <w:jc w:val="center"/>
              <w:rPr>
                <w:rFonts w:hint="eastAsia" w:ascii="仿宋_GB2312" w:hAnsi="仿宋_GB2312" w:eastAsia="仿宋_GB2312" w:cs="仿宋_GB2312"/>
                <w:highlight w:val="none"/>
                <w:vertAlign w:val="baseline"/>
                <w:lang w:eastAsia="zh-CN"/>
              </w:rPr>
            </w:pPr>
          </w:p>
          <w:p>
            <w:pPr>
              <w:jc w:val="center"/>
              <w:rPr>
                <w:rFonts w:hint="eastAsia" w:ascii="仿宋_GB2312" w:hAnsi="仿宋_GB2312" w:eastAsia="仿宋_GB2312" w:cs="仿宋_GB2312"/>
                <w:highlight w:val="none"/>
                <w:vertAlign w:val="baseline"/>
                <w:lang w:eastAsia="zh-CN"/>
              </w:rPr>
            </w:pPr>
          </w:p>
          <w:p>
            <w:pPr>
              <w:jc w:val="center"/>
              <w:rPr>
                <w:rFonts w:hint="eastAsia" w:ascii="仿宋_GB2312" w:hAnsi="仿宋_GB2312" w:eastAsia="仿宋_GB2312" w:cs="仿宋_GB2312"/>
                <w:highlight w:val="none"/>
                <w:vertAlign w:val="baseline"/>
                <w:lang w:eastAsia="zh-CN"/>
              </w:rPr>
            </w:pPr>
            <w:r>
              <w:rPr>
                <w:rFonts w:hint="eastAsia" w:ascii="仿宋_GB2312" w:hAnsi="仿宋_GB2312" w:eastAsia="仿宋_GB2312" w:cs="仿宋_GB2312"/>
                <w:highlight w:val="none"/>
                <w:vertAlign w:val="baseline"/>
                <w:lang w:eastAsia="zh-CN"/>
              </w:rPr>
              <w:t>花卉</w:t>
            </w:r>
          </w:p>
          <w:p>
            <w:pPr>
              <w:jc w:val="center"/>
              <w:rPr>
                <w:rFonts w:hint="eastAsia" w:ascii="仿宋_GB2312" w:hAnsi="仿宋_GB2312" w:eastAsia="仿宋_GB2312" w:cs="仿宋_GB2312"/>
                <w:highlight w:val="none"/>
                <w:vertAlign w:val="baseline"/>
                <w:lang w:eastAsia="zh-CN"/>
              </w:rPr>
            </w:pPr>
            <w:r>
              <w:rPr>
                <w:rFonts w:hint="eastAsia" w:ascii="仿宋_GB2312" w:hAnsi="仿宋_GB2312" w:eastAsia="仿宋_GB2312" w:cs="仿宋_GB2312"/>
                <w:highlight w:val="none"/>
                <w:vertAlign w:val="baseline"/>
                <w:lang w:eastAsia="zh-CN"/>
              </w:rPr>
              <w:t>色带</w:t>
            </w:r>
          </w:p>
        </w:tc>
        <w:tc>
          <w:tcPr>
            <w:tcW w:w="1594" w:type="dxa"/>
            <w:vAlign w:val="center"/>
          </w:tcPr>
          <w:p>
            <w:pPr>
              <w:jc w:val="cente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整体效果</w:t>
            </w:r>
          </w:p>
        </w:tc>
        <w:tc>
          <w:tcPr>
            <w:tcW w:w="3847" w:type="dxa"/>
            <w:vAlign w:val="top"/>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1.无</w:t>
            </w:r>
            <w:r>
              <w:rPr>
                <w:rFonts w:hint="eastAsia" w:ascii="仿宋_GB2312" w:hAnsi="仿宋_GB2312" w:eastAsia="仿宋_GB2312" w:cs="仿宋_GB2312"/>
                <w:highlight w:val="none"/>
                <w:vertAlign w:val="baseline"/>
              </w:rPr>
              <w:t>缺株倒伏的花苗；</w:t>
            </w:r>
          </w:p>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2.</w:t>
            </w:r>
            <w:r>
              <w:rPr>
                <w:rFonts w:hint="eastAsia" w:ascii="仿宋_GB2312" w:hAnsi="仿宋_GB2312" w:eastAsia="仿宋_GB2312" w:cs="仿宋_GB2312"/>
                <w:highlight w:val="none"/>
                <w:vertAlign w:val="baseline"/>
              </w:rPr>
              <w:t>基本无枯枝、残花。</w:t>
            </w:r>
          </w:p>
        </w:tc>
        <w:tc>
          <w:tcPr>
            <w:tcW w:w="1274" w:type="dxa"/>
            <w:vAlign w:val="center"/>
          </w:tcPr>
          <w:p/>
          <w:p>
            <w:pPr>
              <w:jc w:val="center"/>
              <w:rPr>
                <w:rFonts w:hint="default"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25</w:t>
            </w:r>
          </w:p>
        </w:tc>
        <w:tc>
          <w:tcPr>
            <w:tcW w:w="4771" w:type="dxa"/>
          </w:tcPr>
          <w:p>
            <w:pPr>
              <w:numPr>
                <w:ilvl w:val="-1"/>
                <w:numId w:val="0"/>
              </w:numP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出现缺株倒伏、</w:t>
            </w:r>
            <w:r>
              <w:rPr>
                <w:rFonts w:hint="eastAsia" w:ascii="仿宋_GB2312" w:hAnsi="仿宋_GB2312" w:eastAsia="仿宋_GB2312" w:cs="仿宋_GB2312"/>
                <w:highlight w:val="none"/>
              </w:rPr>
              <w:t>花卉生长差，不开花或开花效果差</w:t>
            </w:r>
            <w:r>
              <w:rPr>
                <w:rFonts w:hint="eastAsia" w:ascii="仿宋_GB2312" w:hAnsi="仿宋_GB2312" w:eastAsia="仿宋_GB2312" w:cs="仿宋_GB2312"/>
                <w:highlight w:val="none"/>
                <w:lang w:eastAsia="zh-CN"/>
              </w:rPr>
              <w:t>，有杂草，</w:t>
            </w:r>
            <w:r>
              <w:rPr>
                <w:rFonts w:hint="eastAsia" w:ascii="仿宋_GB2312" w:hAnsi="仿宋_GB2312" w:eastAsia="仿宋_GB2312" w:cs="仿宋_GB2312"/>
                <w:highlight w:val="none"/>
                <w:lang w:val="en-US" w:eastAsia="zh-CN"/>
              </w:rPr>
              <w:t>每株扣0.5分</w:t>
            </w:r>
          </w:p>
          <w:p>
            <w:pPr>
              <w:numPr>
                <w:ilvl w:val="-1"/>
                <w:numId w:val="0"/>
              </w:numP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vertAlign w:val="baseline"/>
              </w:rPr>
              <w:t>枯枝、残花</w:t>
            </w:r>
            <w:r>
              <w:rPr>
                <w:rFonts w:hint="eastAsia" w:ascii="仿宋_GB2312" w:hAnsi="仿宋_GB2312" w:eastAsia="仿宋_GB2312" w:cs="仿宋_GB2312"/>
                <w:highlight w:val="none"/>
                <w:lang w:val="en-US" w:eastAsia="zh-CN" w:bidi="ar"/>
              </w:rPr>
              <w:t>未及时更换，每株扣0.5分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Align w:val="center"/>
          </w:tcPr>
          <w:p>
            <w:pPr>
              <w:jc w:val="cente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花期</w:t>
            </w:r>
          </w:p>
        </w:tc>
        <w:tc>
          <w:tcPr>
            <w:tcW w:w="3847"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花期一致</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15</w:t>
            </w:r>
          </w:p>
        </w:tc>
        <w:tc>
          <w:tcPr>
            <w:tcW w:w="4771" w:type="dxa"/>
          </w:tcPr>
          <w:p>
            <w:pPr>
              <w:numPr>
                <w:ilvl w:val="0"/>
                <w:numId w:val="0"/>
              </w:numP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eastAsia="zh-CN"/>
              </w:rPr>
              <w:t>同一花卉品种，花期不一致，扣</w:t>
            </w:r>
            <w:r>
              <w:rPr>
                <w:rFonts w:hint="eastAsia" w:ascii="仿宋_GB2312" w:hAnsi="仿宋_GB2312" w:eastAsia="仿宋_GB2312" w:cs="仿宋_GB2312"/>
                <w:highlight w:val="none"/>
                <w:vertAlign w:val="baseline"/>
                <w:lang w:val="en-US" w:eastAsia="zh-CN"/>
              </w:rPr>
              <w:t>1分。（</w:t>
            </w:r>
            <w:r>
              <w:rPr>
                <w:rFonts w:hint="eastAsia" w:ascii="仿宋_GB2312" w:hAnsi="仿宋_GB2312" w:eastAsia="仿宋_GB2312" w:cs="仿宋_GB2312"/>
                <w:highlight w:val="none"/>
                <w:vertAlign w:val="baseline"/>
              </w:rPr>
              <w:t>如果花期不一致是由于不可预见的自然灾害或其他不可抗力因素导致，可根据实际情况酌情减少扣分。</w:t>
            </w:r>
            <w:r>
              <w:rPr>
                <w:rFonts w:hint="eastAsia" w:ascii="仿宋_GB2312" w:hAnsi="仿宋_GB2312" w:eastAsia="仿宋_GB2312" w:cs="仿宋_GB2312"/>
                <w:highlight w:val="none"/>
                <w:vertAlign w:val="baseline"/>
                <w:lang w:val="en-US" w:eastAsia="zh-CN"/>
              </w:rPr>
              <w:t>）</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Align w:val="center"/>
          </w:tcPr>
          <w:p>
            <w:pPr>
              <w:jc w:val="cente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生长势</w:t>
            </w:r>
          </w:p>
        </w:tc>
        <w:tc>
          <w:tcPr>
            <w:tcW w:w="3847"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1.</w:t>
            </w:r>
            <w:r>
              <w:rPr>
                <w:rFonts w:hint="eastAsia" w:ascii="仿宋_GB2312" w:hAnsi="仿宋_GB2312" w:eastAsia="仿宋_GB2312" w:cs="仿宋_GB2312"/>
                <w:highlight w:val="none"/>
                <w:vertAlign w:val="baseline"/>
              </w:rPr>
              <w:t>植株生长健壮；</w:t>
            </w:r>
          </w:p>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2.</w:t>
            </w:r>
            <w:r>
              <w:rPr>
                <w:rFonts w:hint="eastAsia" w:ascii="仿宋_GB2312" w:hAnsi="仿宋_GB2312" w:eastAsia="仿宋_GB2312" w:cs="仿宋_GB2312"/>
                <w:highlight w:val="none"/>
                <w:vertAlign w:val="baseline"/>
              </w:rPr>
              <w:t>茎干粗壮，基部分枝强健，蓬径饱满；</w:t>
            </w:r>
          </w:p>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花型美观，花色鲜艳，株高一致</w:t>
            </w:r>
          </w:p>
        </w:tc>
        <w:tc>
          <w:tcPr>
            <w:tcW w:w="1274" w:type="dxa"/>
            <w:vAlign w:val="center"/>
          </w:tcPr>
          <w:p/>
          <w:p>
            <w:pPr>
              <w:jc w:val="center"/>
              <w:rPr>
                <w:rFonts w:hint="default"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25</w:t>
            </w:r>
          </w:p>
        </w:tc>
        <w:tc>
          <w:tcPr>
            <w:tcW w:w="4771" w:type="dxa"/>
          </w:tcPr>
          <w:p>
            <w:pPr>
              <w:numPr>
                <w:ilvl w:val="0"/>
                <w:numId w:val="0"/>
              </w:numPr>
              <w:ind w:leftChars="0"/>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1.植株生长一般，茎干较细，分枝较少且不均匀；叶片颜色较淡，无光泽，有较多黄叶、病叶或枯叶；花朵较小，颜色较淡，数量较少，花期较短，开花不太整齐；根系发育一般，须根较少，有一定程度的烂根或病虫害，对生长有一定影响；每株扣0.5分</w:t>
            </w:r>
          </w:p>
          <w:p>
            <w:pPr>
              <w:numPr>
                <w:ilvl w:val="0"/>
                <w:numId w:val="0"/>
              </w:numPr>
              <w:ind w:leftChars="0"/>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2.植株矮小、瘦弱，茎干纤细，分枝少且稀疏；叶片枯黄、暗淡，大量黄叶、病叶和枯叶；花朵小且颜色暗淡，数量极少，花期短，开花零散；根系不发达，须根少，烂根或病虫害严重，生长明显受阻，每株扣1分</w:t>
            </w:r>
          </w:p>
          <w:p>
            <w:pPr>
              <w:numPr>
                <w:ilvl w:val="0"/>
                <w:numId w:val="0"/>
              </w:numPr>
              <w:ind w:leftChars="0"/>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3.植株濒临死亡，茎干枯萎，无分枝；叶片几乎全部干枯或脱落；无花或花朵完全凋谢；根系完全腐烂，无法正常吸收养分和水，每株扣2分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Align w:val="center"/>
          </w:tcPr>
          <w:p>
            <w:pPr>
              <w:jc w:val="both"/>
              <w:rPr>
                <w:rFonts w:hint="eastAsia" w:ascii="仿宋_GB2312" w:hAnsi="仿宋_GB2312" w:eastAsia="仿宋_GB2312" w:cs="仿宋_GB2312"/>
                <w:highlight w:val="none"/>
                <w:vertAlign w:val="baseline"/>
                <w:lang w:eastAsia="zh-CN"/>
              </w:rPr>
            </w:pPr>
            <w:r>
              <w:rPr>
                <w:rFonts w:hint="eastAsia" w:ascii="仿宋_GB2312" w:hAnsi="仿宋_GB2312" w:eastAsia="仿宋_GB2312" w:cs="仿宋_GB2312"/>
                <w:highlight w:val="none"/>
                <w:vertAlign w:val="baseline"/>
                <w:lang w:eastAsia="zh-CN"/>
              </w:rPr>
              <w:t>有害生物防治</w:t>
            </w:r>
          </w:p>
        </w:tc>
        <w:tc>
          <w:tcPr>
            <w:tcW w:w="3847"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1.</w:t>
            </w:r>
            <w:r>
              <w:rPr>
                <w:rFonts w:hint="eastAsia" w:ascii="仿宋_GB2312" w:hAnsi="仿宋_GB2312" w:eastAsia="仿宋_GB2312" w:cs="仿宋_GB2312"/>
                <w:highlight w:val="none"/>
                <w:vertAlign w:val="baseline"/>
              </w:rPr>
              <w:t>基本无危害状；</w:t>
            </w:r>
          </w:p>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2.</w:t>
            </w:r>
            <w:r>
              <w:rPr>
                <w:rFonts w:hint="eastAsia" w:ascii="仿宋_GB2312" w:hAnsi="仿宋_GB2312" w:eastAsia="仿宋_GB2312" w:cs="仿宋_GB2312"/>
                <w:highlight w:val="none"/>
                <w:vertAlign w:val="baseline"/>
                <w:lang w:eastAsia="zh-CN"/>
              </w:rPr>
              <w:t>全年防治次数</w:t>
            </w:r>
            <w:r>
              <w:rPr>
                <w:rFonts w:hint="eastAsia" w:ascii="仿宋_GB2312" w:hAnsi="仿宋_GB2312" w:eastAsia="仿宋_GB2312" w:cs="仿宋_GB2312"/>
                <w:highlight w:val="none"/>
                <w:vertAlign w:val="baseline"/>
                <w:lang w:val="en-US" w:eastAsia="zh-CN"/>
              </w:rPr>
              <w:t>5-10次</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10</w:t>
            </w:r>
          </w:p>
        </w:tc>
        <w:tc>
          <w:tcPr>
            <w:tcW w:w="4771" w:type="dxa"/>
          </w:tcPr>
          <w:p>
            <w:pPr>
              <w:numPr>
                <w:ilvl w:val="0"/>
                <w:numId w:val="0"/>
              </w:numPr>
              <w:rPr>
                <w:rFonts w:hint="eastAsia" w:ascii="仿宋_GB2312" w:hAnsi="仿宋_GB2312" w:eastAsia="仿宋_GB2312" w:cs="仿宋_GB2312"/>
                <w:highlight w:val="none"/>
                <w:lang w:eastAsia="zh-CN" w:bidi="ar"/>
              </w:rPr>
            </w:pPr>
            <w:r>
              <w:rPr>
                <w:rFonts w:hint="eastAsia" w:ascii="仿宋_GB2312" w:hAnsi="仿宋_GB2312" w:eastAsia="仿宋_GB2312" w:cs="仿宋_GB2312"/>
                <w:highlight w:val="none"/>
                <w:lang w:val="en-US" w:eastAsia="zh-CN" w:bidi="ar"/>
              </w:rPr>
              <w:t>1.</w:t>
            </w:r>
            <w:r>
              <w:rPr>
                <w:rFonts w:hint="eastAsia" w:ascii="仿宋_GB2312" w:hAnsi="仿宋_GB2312" w:eastAsia="仿宋_GB2312" w:cs="仿宋_GB2312"/>
                <w:highlight w:val="none"/>
                <w:lang w:eastAsia="zh-CN" w:bidi="ar"/>
              </w:rPr>
              <w:t>病虫害防治不力，对植物造成损害。</w:t>
            </w:r>
            <w:r>
              <w:rPr>
                <w:rFonts w:hint="eastAsia" w:ascii="仿宋_GB2312" w:hAnsi="仿宋_GB2312" w:eastAsia="仿宋_GB2312" w:cs="仿宋_GB2312"/>
                <w:highlight w:val="none"/>
                <w:lang w:val="en-US" w:eastAsia="zh-CN" w:bidi="ar"/>
              </w:rPr>
              <w:t>每株</w:t>
            </w:r>
            <w:r>
              <w:rPr>
                <w:rFonts w:hint="eastAsia" w:ascii="仿宋_GB2312" w:hAnsi="仿宋_GB2312" w:eastAsia="仿宋_GB2312" w:cs="仿宋_GB2312"/>
                <w:highlight w:val="none"/>
                <w:lang w:eastAsia="zh-CN" w:bidi="ar"/>
              </w:rPr>
              <w:t>扣</w:t>
            </w:r>
            <w:r>
              <w:rPr>
                <w:rFonts w:hint="eastAsia" w:ascii="仿宋_GB2312" w:hAnsi="仿宋_GB2312" w:eastAsia="仿宋_GB2312" w:cs="仿宋_GB2312"/>
                <w:highlight w:val="none"/>
                <w:lang w:val="en-US" w:eastAsia="zh-CN" w:bidi="ar"/>
              </w:rPr>
              <w:t>0.5</w:t>
            </w:r>
            <w:r>
              <w:rPr>
                <w:rFonts w:hint="eastAsia" w:ascii="仿宋_GB2312" w:hAnsi="仿宋_GB2312" w:eastAsia="仿宋_GB2312" w:cs="仿宋_GB2312"/>
                <w:highlight w:val="none"/>
                <w:lang w:eastAsia="zh-CN" w:bidi="ar"/>
              </w:rPr>
              <w:t>分。</w:t>
            </w:r>
          </w:p>
          <w:p>
            <w:pP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lang w:val="en-US" w:eastAsia="zh-CN" w:bidi="ar"/>
              </w:rPr>
              <w:t>2.未按计划防治次数缺1次扣2分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 xml:space="preserve">排灌 </w:t>
            </w:r>
          </w:p>
        </w:tc>
        <w:tc>
          <w:tcPr>
            <w:tcW w:w="3847"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植株不应出现失水萎蔫现象。</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10</w:t>
            </w:r>
          </w:p>
        </w:tc>
        <w:tc>
          <w:tcPr>
            <w:tcW w:w="4771" w:type="dxa"/>
          </w:tcPr>
          <w:p>
            <w:pP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出现失水萎蔫和沥涝现象</w:t>
            </w:r>
            <w:r>
              <w:rPr>
                <w:rFonts w:hint="eastAsia" w:ascii="仿宋_GB2312" w:hAnsi="仿宋_GB2312" w:eastAsia="仿宋_GB2312" w:cs="仿宋_GB2312"/>
                <w:highlight w:val="none"/>
                <w:vertAlign w:val="baseline"/>
                <w:lang w:eastAsia="zh-CN"/>
              </w:rPr>
              <w:t>，</w:t>
            </w:r>
            <w:r>
              <w:rPr>
                <w:rFonts w:hint="eastAsia" w:ascii="仿宋_GB2312" w:hAnsi="仿宋_GB2312" w:eastAsia="仿宋_GB2312" w:cs="仿宋_GB2312"/>
                <w:highlight w:val="none"/>
                <w:vertAlign w:val="baseline"/>
                <w:lang w:val="en-US" w:eastAsia="zh-CN"/>
              </w:rPr>
              <w:t>每株扣1分。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eastAsia="zh-CN"/>
              </w:rPr>
              <w:t>浇水、施肥、修剪、中耕除草</w:t>
            </w:r>
          </w:p>
        </w:tc>
        <w:tc>
          <w:tcPr>
            <w:tcW w:w="3847"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eastAsia="zh-CN"/>
              </w:rPr>
              <w:t>不同品种全年浇水</w:t>
            </w:r>
            <w:r>
              <w:rPr>
                <w:rFonts w:hint="eastAsia" w:ascii="仿宋_GB2312" w:hAnsi="仿宋_GB2312" w:eastAsia="仿宋_GB2312" w:cs="仿宋_GB2312"/>
                <w:highlight w:val="none"/>
                <w:vertAlign w:val="baseline"/>
                <w:lang w:val="en-US" w:eastAsia="zh-CN"/>
              </w:rPr>
              <w:t>15次、施肥4次、修剪2-5次、除草4-5次</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15</w:t>
            </w:r>
          </w:p>
        </w:tc>
        <w:tc>
          <w:tcPr>
            <w:tcW w:w="4771" w:type="dxa"/>
            <w:vAlign w:val="center"/>
          </w:tcPr>
          <w:p>
            <w:pPr>
              <w:jc w:val="both"/>
              <w:rPr>
                <w:rFonts w:hint="eastAsia" w:ascii="仿宋_GB2312" w:hAnsi="仿宋_GB2312" w:eastAsia="仿宋_GB2312" w:cs="仿宋_GB2312"/>
                <w:highlight w:val="none"/>
                <w:vertAlign w:val="baseline"/>
                <w:lang w:eastAsia="zh-CN"/>
              </w:rPr>
            </w:pPr>
            <w:r>
              <w:rPr>
                <w:rFonts w:hint="eastAsia" w:ascii="仿宋_GB2312" w:hAnsi="仿宋_GB2312" w:eastAsia="仿宋_GB2312" w:cs="仿宋_GB2312"/>
                <w:highlight w:val="none"/>
                <w:lang w:val="en-US" w:eastAsia="zh-CN" w:bidi="ar"/>
              </w:rPr>
              <w:t>未按计划服务次数缺1次扣2分。（</w:t>
            </w:r>
            <w:r>
              <w:rPr>
                <w:rFonts w:hint="eastAsia" w:ascii="仿宋_GB2312" w:hAnsi="仿宋_GB2312" w:eastAsia="仿宋_GB2312" w:cs="仿宋_GB2312"/>
                <w:highlight w:val="none"/>
                <w:vertAlign w:val="baseline"/>
                <w:lang w:eastAsia="zh-CN"/>
              </w:rPr>
              <w:t>全年天气异常次数可以</w:t>
            </w:r>
            <w:r>
              <w:rPr>
                <w:rFonts w:hint="eastAsia" w:ascii="仿宋_GB2312" w:hAnsi="仿宋_GB2312" w:eastAsia="仿宋_GB2312" w:cs="仿宋_GB2312"/>
                <w:highlight w:val="none"/>
                <w:vertAlign w:val="baseline"/>
              </w:rPr>
              <w:t>根据实际情况酌情减少扣分</w:t>
            </w:r>
            <w:r>
              <w:rPr>
                <w:rFonts w:hint="eastAsia" w:ascii="仿宋_GB2312" w:hAnsi="仿宋_GB2312" w:eastAsia="仿宋_GB2312" w:cs="仿宋_GB2312"/>
                <w:highlight w:val="none"/>
                <w:lang w:val="en-US" w:eastAsia="zh-CN" w:bidi="ar"/>
              </w:rPr>
              <w:t>）</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267" w:type="dxa"/>
            <w:gridSpan w:val="4"/>
            <w:vAlign w:val="center"/>
          </w:tcPr>
          <w:p>
            <w:pPr>
              <w:jc w:val="center"/>
              <w:rPr>
                <w:rFonts w:hint="eastAsia" w:ascii="仿宋_GB2312" w:hAnsi="仿宋_GB2312" w:eastAsia="仿宋_GB2312" w:cs="仿宋_GB2312"/>
                <w:highlight w:val="none"/>
                <w:vertAlign w:val="baseline"/>
              </w:rPr>
            </w:pPr>
            <w:r>
              <w:rPr>
                <w:rFonts w:hint="eastAsia" w:ascii="仿宋_GB2312" w:hAnsi="仿宋_GB2312" w:eastAsia="仿宋_GB2312" w:cs="仿宋_GB2312"/>
                <w:b/>
                <w:bCs/>
                <w:highlight w:val="none"/>
                <w:vertAlign w:val="baseline"/>
                <w:lang w:val="en-US" w:eastAsia="zh-CN"/>
              </w:rPr>
              <w:t>权重</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b/>
                <w:bCs/>
                <w:highlight w:val="none"/>
                <w:vertAlign w:val="baseline"/>
                <w:lang w:val="en-US" w:eastAsia="zh-CN"/>
              </w:rPr>
              <w:t>15%</w:t>
            </w:r>
          </w:p>
        </w:tc>
        <w:tc>
          <w:tcPr>
            <w:tcW w:w="4771" w:type="dxa"/>
            <w:vAlign w:val="top"/>
          </w:tcPr>
          <w:p>
            <w:pPr>
              <w:numPr>
                <w:ilvl w:val="0"/>
                <w:numId w:val="0"/>
              </w:numPr>
              <w:ind w:left="0" w:leftChars="0" w:firstLine="0" w:firstLineChars="0"/>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b/>
                <w:bCs/>
                <w:highlight w:val="none"/>
                <w:lang w:val="en-US" w:eastAsia="zh-CN" w:bidi="ar"/>
              </w:rPr>
              <w:t>权重分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765" w:type="dxa"/>
            <w:vMerge w:val="restart"/>
            <w:vAlign w:val="center"/>
          </w:tcPr>
          <w:p>
            <w:pPr>
              <w:jc w:val="center"/>
              <w:rPr>
                <w:rFonts w:hint="default"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3</w:t>
            </w:r>
          </w:p>
        </w:tc>
        <w:tc>
          <w:tcPr>
            <w:tcW w:w="1061" w:type="dxa"/>
            <w:vMerge w:val="restart"/>
            <w:vAlign w:val="center"/>
          </w:tcPr>
          <w:p>
            <w:pPr>
              <w:jc w:val="cente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草坪</w:t>
            </w:r>
          </w:p>
        </w:tc>
        <w:tc>
          <w:tcPr>
            <w:tcW w:w="1594"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整体效果</w:t>
            </w:r>
          </w:p>
        </w:tc>
        <w:tc>
          <w:tcPr>
            <w:tcW w:w="3847" w:type="dxa"/>
          </w:tcPr>
          <w:p>
            <w:pPr>
              <w:rPr>
                <w:rFonts w:hint="eastAsia" w:ascii="仿宋_GB2312" w:hAnsi="仿宋_GB2312" w:eastAsia="仿宋_GB2312" w:cs="仿宋_GB2312"/>
                <w:highlight w:val="none"/>
                <w:vertAlign w:val="baseline"/>
                <w:lang w:eastAsia="zh-CN"/>
              </w:rPr>
            </w:pPr>
            <w:r>
              <w:rPr>
                <w:rFonts w:hint="eastAsia" w:ascii="仿宋_GB2312" w:hAnsi="仿宋_GB2312" w:eastAsia="仿宋_GB2312" w:cs="仿宋_GB2312"/>
                <w:highlight w:val="none"/>
                <w:vertAlign w:val="baseline"/>
                <w:lang w:val="en-US" w:eastAsia="zh-CN"/>
              </w:rPr>
              <w:t>1.</w:t>
            </w:r>
            <w:r>
              <w:rPr>
                <w:rFonts w:hint="eastAsia" w:ascii="仿宋_GB2312" w:hAnsi="仿宋_GB2312" w:eastAsia="仿宋_GB2312" w:cs="仿宋_GB2312"/>
                <w:highlight w:val="none"/>
                <w:vertAlign w:val="baseline"/>
              </w:rPr>
              <w:t xml:space="preserve">成坪高度应符合 GB/T 18247.7 </w:t>
            </w:r>
            <w:r>
              <w:rPr>
                <w:rFonts w:hint="eastAsia" w:ascii="仿宋_GB2312" w:hAnsi="仿宋_GB2312" w:eastAsia="仿宋_GB2312" w:cs="仿宋_GB2312"/>
                <w:highlight w:val="none"/>
                <w:vertAlign w:val="baseline"/>
                <w:lang w:eastAsia="zh-CN"/>
              </w:rPr>
              <w:t>要</w:t>
            </w:r>
            <w:r>
              <w:rPr>
                <w:rFonts w:hint="eastAsia" w:ascii="仿宋_GB2312" w:hAnsi="仿宋_GB2312" w:eastAsia="仿宋_GB2312" w:cs="仿宋_GB2312"/>
                <w:highlight w:val="none"/>
                <w:vertAlign w:val="baseline"/>
              </w:rPr>
              <w:t>求，平坦整洁</w:t>
            </w:r>
          </w:p>
          <w:p>
            <w:pP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2.</w:t>
            </w:r>
            <w:r>
              <w:rPr>
                <w:rFonts w:hint="eastAsia" w:ascii="仿宋_GB2312" w:hAnsi="仿宋_GB2312" w:eastAsia="仿宋_GB2312" w:cs="仿宋_GB2312"/>
                <w:highlight w:val="none"/>
                <w:vertAlign w:val="baseline"/>
              </w:rPr>
              <w:t>修剪后无残留草屑，剪口无焦枯、撕裂现象。</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25</w:t>
            </w:r>
          </w:p>
        </w:tc>
        <w:tc>
          <w:tcPr>
            <w:tcW w:w="4771" w:type="dxa"/>
          </w:tcPr>
          <w:p>
            <w:pPr>
              <w:numPr>
                <w:ilvl w:val="0"/>
                <w:numId w:val="0"/>
              </w:numPr>
              <w:rPr>
                <w:rFonts w:hint="eastAsia" w:ascii="仿宋_GB2312" w:hAnsi="仿宋_GB2312" w:eastAsia="仿宋_GB2312" w:cs="仿宋_GB2312"/>
                <w:highlight w:val="none"/>
                <w:vertAlign w:val="baseline"/>
                <w:lang w:val="en-US" w:eastAsia="zh-CN" w:bidi="ar"/>
              </w:rPr>
            </w:pPr>
            <w:r>
              <w:rPr>
                <w:rFonts w:hint="eastAsia" w:ascii="仿宋_GB2312" w:hAnsi="仿宋_GB2312" w:eastAsia="仿宋_GB2312" w:cs="仿宋_GB2312"/>
                <w:highlight w:val="none"/>
                <w:vertAlign w:val="baseline"/>
                <w:lang w:val="en-US" w:eastAsia="zh-CN"/>
              </w:rPr>
              <w:t>1.</w:t>
            </w:r>
            <w:r>
              <w:rPr>
                <w:rFonts w:hint="eastAsia" w:ascii="仿宋_GB2312" w:hAnsi="仿宋_GB2312" w:eastAsia="仿宋_GB2312" w:cs="仿宋_GB2312"/>
                <w:highlight w:val="none"/>
                <w:vertAlign w:val="baseline"/>
              </w:rPr>
              <w:t>稀疏，斑秃区域超过</w:t>
            </w:r>
            <w:r>
              <w:rPr>
                <w:rFonts w:hint="eastAsia" w:ascii="仿宋_GB2312" w:hAnsi="仿宋_GB2312" w:eastAsia="仿宋_GB2312" w:cs="仿宋_GB2312"/>
                <w:highlight w:val="none"/>
                <w:lang w:eastAsia="zh-CN" w:bidi="ar"/>
              </w:rPr>
              <w:t>40cm</w:t>
            </w:r>
            <w:r>
              <w:rPr>
                <w:rFonts w:hint="eastAsia" w:ascii="仿宋_GB2312" w:hAnsi="仿宋_GB2312" w:eastAsia="仿宋_GB2312" w:cs="仿宋_GB2312"/>
                <w:highlight w:val="none"/>
                <w:vertAlign w:val="superscript"/>
                <w:lang w:eastAsia="zh-CN" w:bidi="ar"/>
              </w:rPr>
              <w:t>2，</w:t>
            </w:r>
            <w:r>
              <w:rPr>
                <w:rFonts w:hint="eastAsia" w:ascii="仿宋_GB2312" w:hAnsi="仿宋_GB2312" w:eastAsia="仿宋_GB2312" w:cs="仿宋_GB2312"/>
                <w:highlight w:val="none"/>
                <w:vertAlign w:val="baseline"/>
                <w:lang w:eastAsia="zh-CN" w:bidi="ar"/>
              </w:rPr>
              <w:t>扣</w:t>
            </w:r>
            <w:r>
              <w:rPr>
                <w:rFonts w:hint="eastAsia" w:ascii="仿宋_GB2312" w:hAnsi="仿宋_GB2312" w:eastAsia="仿宋_GB2312" w:cs="仿宋_GB2312"/>
                <w:highlight w:val="none"/>
                <w:vertAlign w:val="baseline"/>
                <w:lang w:val="en-US" w:eastAsia="zh-CN" w:bidi="ar"/>
              </w:rPr>
              <w:t>1分。</w:t>
            </w:r>
          </w:p>
          <w:p>
            <w:pPr>
              <w:numPr>
                <w:ilvl w:val="0"/>
                <w:numId w:val="0"/>
              </w:numPr>
              <w:rPr>
                <w:rFonts w:hint="eastAsia" w:ascii="仿宋_GB2312" w:hAnsi="仿宋_GB2312" w:eastAsia="仿宋_GB2312" w:cs="仿宋_GB2312"/>
                <w:highlight w:val="none"/>
                <w:vertAlign w:val="baseline"/>
                <w:lang w:val="en-US" w:eastAsia="zh-CN" w:bidi="ar"/>
              </w:rPr>
            </w:pPr>
            <w:r>
              <w:rPr>
                <w:rFonts w:hint="eastAsia" w:ascii="仿宋_GB2312" w:hAnsi="仿宋_GB2312" w:eastAsia="仿宋_GB2312" w:cs="仿宋_GB2312"/>
                <w:highlight w:val="none"/>
                <w:vertAlign w:val="baseline"/>
                <w:lang w:val="en-US" w:eastAsia="zh-CN" w:bidi="ar"/>
              </w:rPr>
              <w:t>2.凹凸不平，严重影响观感</w:t>
            </w:r>
            <w:r>
              <w:rPr>
                <w:rFonts w:hint="eastAsia" w:ascii="仿宋_GB2312" w:hAnsi="仿宋_GB2312" w:eastAsia="仿宋_GB2312" w:cs="仿宋_GB2312"/>
                <w:highlight w:val="none"/>
                <w:vertAlign w:val="baseline"/>
              </w:rPr>
              <w:t>超过</w:t>
            </w:r>
            <w:r>
              <w:rPr>
                <w:rFonts w:hint="eastAsia" w:ascii="仿宋_GB2312" w:hAnsi="仿宋_GB2312" w:eastAsia="仿宋_GB2312" w:cs="仿宋_GB2312"/>
                <w:highlight w:val="none"/>
                <w:lang w:eastAsia="zh-CN" w:bidi="ar"/>
              </w:rPr>
              <w:t>40cm</w:t>
            </w:r>
            <w:r>
              <w:rPr>
                <w:rFonts w:hint="eastAsia" w:ascii="仿宋_GB2312" w:hAnsi="仿宋_GB2312" w:eastAsia="仿宋_GB2312" w:cs="仿宋_GB2312"/>
                <w:highlight w:val="none"/>
                <w:vertAlign w:val="superscript"/>
                <w:lang w:eastAsia="zh-CN" w:bidi="ar"/>
              </w:rPr>
              <w:t>2，</w:t>
            </w:r>
            <w:r>
              <w:rPr>
                <w:rFonts w:hint="eastAsia" w:ascii="仿宋_GB2312" w:hAnsi="仿宋_GB2312" w:eastAsia="仿宋_GB2312" w:cs="仿宋_GB2312"/>
                <w:highlight w:val="none"/>
                <w:vertAlign w:val="baseline"/>
                <w:lang w:eastAsia="zh-CN" w:bidi="ar"/>
              </w:rPr>
              <w:t>扣</w:t>
            </w:r>
            <w:r>
              <w:rPr>
                <w:rFonts w:hint="eastAsia" w:ascii="仿宋_GB2312" w:hAnsi="仿宋_GB2312" w:eastAsia="仿宋_GB2312" w:cs="仿宋_GB2312"/>
                <w:highlight w:val="none"/>
                <w:vertAlign w:val="baseline"/>
                <w:lang w:val="en-US" w:eastAsia="zh-CN" w:bidi="ar"/>
              </w:rPr>
              <w:t>1分</w:t>
            </w:r>
          </w:p>
          <w:p>
            <w:pPr>
              <w:numPr>
                <w:ilvl w:val="0"/>
                <w:numId w:val="0"/>
              </w:numPr>
              <w:rPr>
                <w:rFonts w:hint="eastAsia" w:ascii="仿宋_GB2312" w:hAnsi="仿宋_GB2312" w:eastAsia="仿宋_GB2312" w:cs="仿宋_GB2312"/>
                <w:highlight w:val="none"/>
                <w:vertAlign w:val="baseline"/>
                <w:lang w:val="en-US" w:eastAsia="zh-CN" w:bidi="ar"/>
              </w:rPr>
            </w:pPr>
            <w:r>
              <w:rPr>
                <w:rFonts w:hint="eastAsia" w:ascii="仿宋_GB2312" w:hAnsi="仿宋_GB2312" w:eastAsia="仿宋_GB2312" w:cs="仿宋_GB2312"/>
                <w:highlight w:val="none"/>
                <w:vertAlign w:val="baseline"/>
                <w:lang w:val="en-US" w:eastAsia="zh-CN" w:bidi="ar"/>
              </w:rPr>
              <w:t>3.颜色暗淡，枯黄或褪色区域</w:t>
            </w:r>
            <w:r>
              <w:rPr>
                <w:rFonts w:hint="eastAsia" w:ascii="仿宋_GB2312" w:hAnsi="仿宋_GB2312" w:eastAsia="仿宋_GB2312" w:cs="仿宋_GB2312"/>
                <w:highlight w:val="none"/>
                <w:lang w:eastAsia="zh-CN" w:bidi="ar"/>
              </w:rPr>
              <w:t>40cm</w:t>
            </w:r>
            <w:r>
              <w:rPr>
                <w:rFonts w:hint="eastAsia" w:ascii="仿宋_GB2312" w:hAnsi="仿宋_GB2312" w:eastAsia="仿宋_GB2312" w:cs="仿宋_GB2312"/>
                <w:highlight w:val="none"/>
                <w:vertAlign w:val="superscript"/>
                <w:lang w:eastAsia="zh-CN" w:bidi="ar"/>
              </w:rPr>
              <w:t>2，</w:t>
            </w:r>
            <w:r>
              <w:rPr>
                <w:rFonts w:hint="eastAsia" w:ascii="仿宋_GB2312" w:hAnsi="仿宋_GB2312" w:eastAsia="仿宋_GB2312" w:cs="仿宋_GB2312"/>
                <w:highlight w:val="none"/>
                <w:vertAlign w:val="baseline"/>
                <w:lang w:eastAsia="zh-CN" w:bidi="ar"/>
              </w:rPr>
              <w:t>扣</w:t>
            </w:r>
            <w:r>
              <w:rPr>
                <w:rFonts w:hint="eastAsia" w:ascii="仿宋_GB2312" w:hAnsi="仿宋_GB2312" w:eastAsia="仿宋_GB2312" w:cs="仿宋_GB2312"/>
                <w:highlight w:val="none"/>
                <w:vertAlign w:val="baseline"/>
                <w:lang w:val="en-US" w:eastAsia="zh-CN" w:bidi="ar"/>
              </w:rPr>
              <w:t>1分</w:t>
            </w:r>
          </w:p>
          <w:p>
            <w:pPr>
              <w:numPr>
                <w:ilvl w:val="0"/>
                <w:numId w:val="0"/>
              </w:numPr>
              <w:rPr>
                <w:rFonts w:hint="eastAsia" w:ascii="仿宋_GB2312" w:hAnsi="仿宋_GB2312" w:eastAsia="仿宋_GB2312" w:cs="仿宋_GB2312"/>
                <w:highlight w:val="none"/>
                <w:lang w:eastAsia="zh-CN" w:bidi="ar"/>
              </w:rPr>
            </w:pPr>
            <w:r>
              <w:rPr>
                <w:rFonts w:hint="eastAsia" w:ascii="仿宋_GB2312" w:hAnsi="仿宋_GB2312" w:eastAsia="仿宋_GB2312" w:cs="仿宋_GB2312"/>
                <w:highlight w:val="none"/>
                <w:lang w:val="en-US" w:eastAsia="zh-CN" w:bidi="ar"/>
              </w:rPr>
              <w:t>4.</w:t>
            </w:r>
            <w:r>
              <w:rPr>
                <w:rFonts w:hint="eastAsia" w:ascii="仿宋_GB2312" w:hAnsi="仿宋_GB2312" w:eastAsia="仿宋_GB2312" w:cs="仿宋_GB2312"/>
                <w:highlight w:val="none"/>
                <w:lang w:eastAsia="zh-CN" w:bidi="ar"/>
              </w:rPr>
              <w:t>草种混杂，明显有杂草、杂物的</w:t>
            </w:r>
            <w:r>
              <w:rPr>
                <w:rFonts w:hint="eastAsia" w:ascii="仿宋_GB2312" w:hAnsi="仿宋_GB2312" w:eastAsia="仿宋_GB2312" w:cs="仿宋_GB2312"/>
                <w:highlight w:val="none"/>
                <w:lang w:val="en-US" w:eastAsia="zh-CN" w:bidi="ar"/>
              </w:rPr>
              <w:t>1</w:t>
            </w:r>
            <w:r>
              <w:rPr>
                <w:rFonts w:hint="eastAsia" w:ascii="仿宋_GB2312" w:hAnsi="仿宋_GB2312" w:eastAsia="仿宋_GB2312" w:cs="仿宋_GB2312"/>
                <w:highlight w:val="none"/>
                <w:lang w:eastAsia="zh-CN" w:bidi="ar"/>
              </w:rPr>
              <w:t>分</w:t>
            </w:r>
          </w:p>
          <w:p>
            <w:pPr>
              <w:numPr>
                <w:ilvl w:val="0"/>
                <w:numId w:val="0"/>
              </w:numPr>
              <w:rPr>
                <w:rFonts w:hint="eastAsia" w:ascii="仿宋_GB2312" w:hAnsi="仿宋_GB2312" w:eastAsia="仿宋_GB2312" w:cs="仿宋_GB2312"/>
                <w:highlight w:val="none"/>
                <w:lang w:eastAsia="zh-CN" w:bidi="ar"/>
              </w:rPr>
            </w:pPr>
            <w:r>
              <w:rPr>
                <w:rFonts w:hint="eastAsia" w:ascii="仿宋_GB2312" w:hAnsi="仿宋_GB2312" w:eastAsia="仿宋_GB2312" w:cs="仿宋_GB2312"/>
                <w:highlight w:val="none"/>
                <w:lang w:val="en-US" w:eastAsia="zh-CN" w:bidi="ar"/>
              </w:rPr>
              <w:t>5.</w:t>
            </w:r>
            <w:r>
              <w:rPr>
                <w:rFonts w:hint="eastAsia" w:ascii="仿宋_GB2312" w:hAnsi="仿宋_GB2312" w:eastAsia="仿宋_GB2312" w:cs="仿宋_GB2312"/>
                <w:highlight w:val="none"/>
                <w:lang w:eastAsia="zh-CN" w:bidi="ar"/>
              </w:rPr>
              <w:t>有大型野草等每处扣</w:t>
            </w:r>
            <w:r>
              <w:rPr>
                <w:rFonts w:hint="eastAsia" w:ascii="仿宋_GB2312" w:hAnsi="仿宋_GB2312" w:eastAsia="仿宋_GB2312" w:cs="仿宋_GB2312"/>
                <w:highlight w:val="none"/>
                <w:lang w:val="en-US" w:eastAsia="zh-CN" w:bidi="ar"/>
              </w:rPr>
              <w:t>2</w:t>
            </w:r>
            <w:r>
              <w:rPr>
                <w:rFonts w:hint="eastAsia" w:ascii="仿宋_GB2312" w:hAnsi="仿宋_GB2312" w:eastAsia="仿宋_GB2312" w:cs="仿宋_GB2312"/>
                <w:highlight w:val="none"/>
                <w:lang w:eastAsia="zh-CN" w:bidi="ar"/>
              </w:rPr>
              <w:t>分</w:t>
            </w:r>
          </w:p>
          <w:p>
            <w:pPr>
              <w:numPr>
                <w:ilvl w:val="0"/>
                <w:numId w:val="0"/>
              </w:numPr>
              <w:rPr>
                <w:rFonts w:hint="eastAsia" w:ascii="仿宋_GB2312" w:hAnsi="仿宋_GB2312" w:eastAsia="仿宋_GB2312" w:cs="仿宋_GB2312"/>
                <w:highlight w:val="none"/>
                <w:lang w:eastAsia="zh-CN" w:bidi="ar"/>
              </w:rPr>
            </w:pPr>
            <w:r>
              <w:rPr>
                <w:rFonts w:hint="eastAsia" w:ascii="仿宋_GB2312" w:hAnsi="仿宋_GB2312" w:eastAsia="仿宋_GB2312" w:cs="仿宋_GB2312"/>
                <w:highlight w:val="none"/>
                <w:lang w:val="en-US" w:eastAsia="zh-CN" w:bidi="ar"/>
              </w:rPr>
              <w:t>6.</w:t>
            </w:r>
            <w:r>
              <w:rPr>
                <w:rFonts w:hint="eastAsia" w:ascii="仿宋_GB2312" w:hAnsi="仿宋_GB2312" w:eastAsia="仿宋_GB2312" w:cs="仿宋_GB2312"/>
                <w:highlight w:val="none"/>
                <w:lang w:eastAsia="zh-CN" w:bidi="ar"/>
              </w:rPr>
              <w:t>杂草不及时清运的每处扣</w:t>
            </w:r>
            <w:r>
              <w:rPr>
                <w:rFonts w:hint="eastAsia" w:ascii="仿宋_GB2312" w:hAnsi="仿宋_GB2312" w:eastAsia="仿宋_GB2312" w:cs="仿宋_GB2312"/>
                <w:highlight w:val="none"/>
                <w:lang w:val="en-US" w:eastAsia="zh-CN" w:bidi="ar"/>
              </w:rPr>
              <w:t>2</w:t>
            </w:r>
            <w:r>
              <w:rPr>
                <w:rFonts w:hint="eastAsia" w:ascii="仿宋_GB2312" w:hAnsi="仿宋_GB2312" w:eastAsia="仿宋_GB2312" w:cs="仿宋_GB2312"/>
                <w:highlight w:val="none"/>
                <w:lang w:eastAsia="zh-CN" w:bidi="ar"/>
              </w:rPr>
              <w:t>分</w:t>
            </w:r>
          </w:p>
          <w:p>
            <w:pPr>
              <w:numPr>
                <w:ilvl w:val="0"/>
                <w:numId w:val="0"/>
              </w:numPr>
              <w:rPr>
                <w:rFonts w:hint="eastAsia" w:ascii="仿宋_GB2312" w:hAnsi="仿宋_GB2312" w:eastAsia="仿宋_GB2312" w:cs="仿宋_GB2312"/>
                <w:highlight w:val="none"/>
                <w:lang w:eastAsia="zh-CN" w:bidi="ar"/>
              </w:rPr>
            </w:pPr>
            <w:r>
              <w:rPr>
                <w:rFonts w:hint="eastAsia" w:ascii="仿宋_GB2312" w:hAnsi="仿宋_GB2312" w:eastAsia="仿宋_GB2312" w:cs="仿宋_GB2312"/>
                <w:highlight w:val="none"/>
                <w:lang w:val="en-US" w:eastAsia="zh-CN" w:bidi="ar"/>
              </w:rPr>
              <w:t>7.</w:t>
            </w:r>
            <w:r>
              <w:rPr>
                <w:rFonts w:hint="eastAsia" w:ascii="仿宋_GB2312" w:hAnsi="仿宋_GB2312" w:eastAsia="仿宋_GB2312" w:cs="仿宋_GB2312"/>
                <w:highlight w:val="none"/>
                <w:lang w:eastAsia="zh-CN" w:bidi="ar"/>
              </w:rPr>
              <w:t>路边等处杂草控制不到位的扣</w:t>
            </w:r>
            <w:r>
              <w:rPr>
                <w:rFonts w:hint="eastAsia" w:ascii="仿宋_GB2312" w:hAnsi="仿宋_GB2312" w:eastAsia="仿宋_GB2312" w:cs="仿宋_GB2312"/>
                <w:highlight w:val="none"/>
                <w:lang w:val="en-US" w:eastAsia="zh-CN" w:bidi="ar"/>
              </w:rPr>
              <w:t>1</w:t>
            </w:r>
            <w:r>
              <w:rPr>
                <w:rFonts w:hint="eastAsia" w:ascii="仿宋_GB2312" w:hAnsi="仿宋_GB2312" w:eastAsia="仿宋_GB2312" w:cs="仿宋_GB2312"/>
                <w:highlight w:val="none"/>
                <w:lang w:eastAsia="zh-CN" w:bidi="ar"/>
              </w:rPr>
              <w:t>分</w:t>
            </w:r>
          </w:p>
          <w:p>
            <w:pPr>
              <w:numPr>
                <w:ilvl w:val="0"/>
                <w:numId w:val="0"/>
              </w:numPr>
              <w:rPr>
                <w:rFonts w:hint="eastAsia" w:ascii="仿宋_GB2312" w:hAnsi="仿宋_GB2312" w:eastAsia="仿宋_GB2312" w:cs="仿宋_GB2312"/>
                <w:highlight w:val="none"/>
                <w:vertAlign w:val="baseline"/>
                <w:lang w:val="en-US" w:eastAsia="zh-CN" w:bidi="ar"/>
              </w:rPr>
            </w:pPr>
            <w:r>
              <w:rPr>
                <w:rFonts w:hint="eastAsia" w:ascii="仿宋_GB2312" w:hAnsi="仿宋_GB2312" w:eastAsia="仿宋_GB2312" w:cs="仿宋_GB2312"/>
                <w:highlight w:val="none"/>
                <w:lang w:val="en-US" w:eastAsia="zh-CN" w:bidi="ar"/>
              </w:rPr>
              <w:t>8.</w:t>
            </w:r>
            <w:r>
              <w:rPr>
                <w:rFonts w:hint="eastAsia" w:ascii="仿宋_GB2312" w:hAnsi="仿宋_GB2312" w:eastAsia="仿宋_GB2312" w:cs="仿宋_GB2312"/>
                <w:highlight w:val="none"/>
                <w:vertAlign w:val="baseline"/>
                <w:lang w:val="en-US" w:eastAsia="zh-CN" w:bidi="ar"/>
              </w:rPr>
              <w:t>修剪高度不均匀，不符合标准，边缘不整齐，</w:t>
            </w:r>
            <w:r>
              <w:rPr>
                <w:rFonts w:hint="eastAsia" w:ascii="仿宋_GB2312" w:hAnsi="仿宋_GB2312" w:eastAsia="仿宋_GB2312" w:cs="仿宋_GB2312"/>
                <w:highlight w:val="none"/>
                <w:vertAlign w:val="baseline"/>
              </w:rPr>
              <w:t>剪口焦枯撕裂</w:t>
            </w:r>
            <w:r>
              <w:rPr>
                <w:rFonts w:hint="eastAsia" w:ascii="仿宋_GB2312" w:hAnsi="仿宋_GB2312" w:eastAsia="仿宋_GB2312" w:cs="仿宋_GB2312"/>
                <w:highlight w:val="none"/>
                <w:vertAlign w:val="baseline"/>
                <w:lang w:eastAsia="zh-CN"/>
              </w:rPr>
              <w:t>、</w:t>
            </w:r>
            <w:r>
              <w:rPr>
                <w:rFonts w:hint="eastAsia" w:ascii="仿宋_GB2312" w:hAnsi="仿宋_GB2312" w:eastAsia="仿宋_GB2312" w:cs="仿宋_GB2312"/>
                <w:highlight w:val="none"/>
                <w:vertAlign w:val="baseline"/>
                <w:lang w:val="en-US" w:eastAsia="zh-CN" w:bidi="ar"/>
              </w:rPr>
              <w:t>草屑较多</w:t>
            </w:r>
            <w:r>
              <w:rPr>
                <w:rFonts w:hint="eastAsia" w:ascii="仿宋_GB2312" w:hAnsi="仿宋_GB2312" w:eastAsia="仿宋_GB2312" w:cs="仿宋_GB2312"/>
                <w:highlight w:val="none"/>
                <w:vertAlign w:val="baseline"/>
              </w:rPr>
              <w:t>超过</w:t>
            </w:r>
            <w:r>
              <w:rPr>
                <w:rFonts w:hint="eastAsia" w:ascii="仿宋_GB2312" w:hAnsi="仿宋_GB2312" w:eastAsia="仿宋_GB2312" w:cs="仿宋_GB2312"/>
                <w:highlight w:val="none"/>
                <w:lang w:eastAsia="zh-CN" w:bidi="ar"/>
              </w:rPr>
              <w:t>40cm</w:t>
            </w:r>
            <w:r>
              <w:rPr>
                <w:rFonts w:hint="eastAsia" w:ascii="仿宋_GB2312" w:hAnsi="仿宋_GB2312" w:eastAsia="仿宋_GB2312" w:cs="仿宋_GB2312"/>
                <w:highlight w:val="none"/>
                <w:vertAlign w:val="superscript"/>
                <w:lang w:eastAsia="zh-CN" w:bidi="ar"/>
              </w:rPr>
              <w:t>2，</w:t>
            </w:r>
            <w:r>
              <w:rPr>
                <w:rFonts w:hint="eastAsia" w:ascii="仿宋_GB2312" w:hAnsi="仿宋_GB2312" w:eastAsia="仿宋_GB2312" w:cs="仿宋_GB2312"/>
                <w:highlight w:val="none"/>
                <w:vertAlign w:val="baseline"/>
                <w:lang w:eastAsia="zh-CN" w:bidi="ar"/>
              </w:rPr>
              <w:t>扣</w:t>
            </w:r>
            <w:r>
              <w:rPr>
                <w:rFonts w:hint="eastAsia" w:ascii="仿宋_GB2312" w:hAnsi="仿宋_GB2312" w:eastAsia="仿宋_GB2312" w:cs="仿宋_GB2312"/>
                <w:highlight w:val="none"/>
                <w:vertAlign w:val="baseline"/>
                <w:lang w:val="en-US" w:eastAsia="zh-CN" w:bidi="ar"/>
              </w:rPr>
              <w:t>1分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shd w:val="clear" w:color="auto" w:fill="auto"/>
            <w:vAlign w:val="top"/>
          </w:tcPr>
          <w:p>
            <w:pP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highlight w:val="none"/>
                <w:vertAlign w:val="baseline"/>
              </w:rPr>
              <w:t>生长势</w:t>
            </w:r>
          </w:p>
        </w:tc>
        <w:tc>
          <w:tcPr>
            <w:tcW w:w="3847" w:type="dxa"/>
            <w:shd w:val="clear" w:color="auto" w:fill="auto"/>
            <w:vAlign w:val="top"/>
          </w:tcPr>
          <w:p>
            <w:pP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highlight w:val="none"/>
                <w:vertAlign w:val="baseline"/>
              </w:rPr>
              <w:t>生长茂盛</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25</w:t>
            </w:r>
          </w:p>
        </w:tc>
        <w:tc>
          <w:tcPr>
            <w:tcW w:w="4771" w:type="dxa"/>
          </w:tcPr>
          <w:p>
            <w:pP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lang w:eastAsia="zh-CN" w:bidi="ar"/>
              </w:rPr>
              <w:t>生长期出现长势不良，按</w:t>
            </w:r>
            <w:r>
              <w:rPr>
                <w:rFonts w:hint="eastAsia" w:ascii="仿宋_GB2312" w:hAnsi="仿宋_GB2312" w:eastAsia="仿宋_GB2312" w:cs="仿宋_GB2312"/>
                <w:highlight w:val="none"/>
                <w:lang w:val="en-US" w:eastAsia="zh-CN" w:bidi="ar"/>
              </w:rPr>
              <w:t>4</w:t>
            </w:r>
            <w:r>
              <w:rPr>
                <w:rFonts w:hint="eastAsia" w:ascii="仿宋_GB2312" w:hAnsi="仿宋_GB2312" w:eastAsia="仿宋_GB2312" w:cs="仿宋_GB2312"/>
                <w:highlight w:val="none"/>
                <w:lang w:eastAsia="zh-CN" w:bidi="ar"/>
              </w:rPr>
              <w:t>0cm</w:t>
            </w:r>
            <w:r>
              <w:rPr>
                <w:rFonts w:hint="eastAsia" w:ascii="仿宋_GB2312" w:hAnsi="仿宋_GB2312" w:eastAsia="仿宋_GB2312" w:cs="仿宋_GB2312"/>
                <w:highlight w:val="none"/>
                <w:vertAlign w:val="superscript"/>
                <w:lang w:eastAsia="zh-CN" w:bidi="ar"/>
              </w:rPr>
              <w:t>2</w:t>
            </w:r>
            <w:r>
              <w:rPr>
                <w:rFonts w:hint="eastAsia" w:ascii="仿宋_GB2312" w:hAnsi="仿宋_GB2312" w:eastAsia="仿宋_GB2312" w:cs="仿宋_GB2312"/>
                <w:highlight w:val="none"/>
                <w:lang w:eastAsia="zh-CN" w:bidi="ar"/>
              </w:rPr>
              <w:t>扣</w:t>
            </w:r>
            <w:r>
              <w:rPr>
                <w:rFonts w:hint="eastAsia" w:ascii="仿宋_GB2312" w:hAnsi="仿宋_GB2312" w:eastAsia="仿宋_GB2312" w:cs="仿宋_GB2312"/>
                <w:highlight w:val="none"/>
                <w:lang w:val="en-US" w:eastAsia="zh-CN" w:bidi="ar"/>
              </w:rPr>
              <w:t>1</w:t>
            </w:r>
            <w:r>
              <w:rPr>
                <w:rFonts w:hint="eastAsia" w:ascii="仿宋_GB2312" w:hAnsi="仿宋_GB2312" w:eastAsia="仿宋_GB2312" w:cs="仿宋_GB2312"/>
                <w:highlight w:val="none"/>
                <w:lang w:eastAsia="zh-CN" w:bidi="ar"/>
              </w:rPr>
              <w:t>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shd w:val="clear" w:color="auto" w:fill="auto"/>
            <w:vAlign w:val="top"/>
          </w:tcPr>
          <w:p>
            <w:pP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highlight w:val="none"/>
                <w:vertAlign w:val="baseline"/>
              </w:rPr>
              <w:t>排灌</w:t>
            </w:r>
          </w:p>
        </w:tc>
        <w:tc>
          <w:tcPr>
            <w:tcW w:w="3847" w:type="dxa"/>
            <w:shd w:val="clear" w:color="auto" w:fill="auto"/>
            <w:vAlign w:val="top"/>
          </w:tcPr>
          <w:p>
            <w:pP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highlight w:val="none"/>
                <w:vertAlign w:val="baseline"/>
              </w:rPr>
              <w:t>草坪无失水萎蔫现象</w:t>
            </w:r>
          </w:p>
        </w:tc>
        <w:tc>
          <w:tcPr>
            <w:tcW w:w="1274" w:type="dxa"/>
            <w:vAlign w:val="center"/>
          </w:tcPr>
          <w:p>
            <w:pPr>
              <w:jc w:val="center"/>
              <w:rPr>
                <w:rFonts w:hint="default"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10</w:t>
            </w:r>
          </w:p>
        </w:tc>
        <w:tc>
          <w:tcPr>
            <w:tcW w:w="4771" w:type="dxa"/>
          </w:tcPr>
          <w:p>
            <w:pP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出现失水萎蔫和沥涝现象</w:t>
            </w:r>
            <w:r>
              <w:rPr>
                <w:rFonts w:hint="eastAsia" w:ascii="仿宋_GB2312" w:hAnsi="仿宋_GB2312" w:eastAsia="仿宋_GB2312" w:cs="仿宋_GB2312"/>
                <w:highlight w:val="none"/>
                <w:vertAlign w:val="baseline"/>
                <w:lang w:eastAsia="zh-CN"/>
              </w:rPr>
              <w:t>，</w:t>
            </w:r>
            <w:r>
              <w:rPr>
                <w:rFonts w:hint="eastAsia" w:ascii="仿宋_GB2312" w:hAnsi="仿宋_GB2312" w:eastAsia="仿宋_GB2312" w:cs="仿宋_GB2312"/>
                <w:highlight w:val="none"/>
                <w:lang w:eastAsia="zh-CN" w:bidi="ar"/>
              </w:rPr>
              <w:t>&gt;40cm</w:t>
            </w:r>
            <w:r>
              <w:rPr>
                <w:rFonts w:hint="eastAsia" w:ascii="仿宋_GB2312" w:hAnsi="仿宋_GB2312" w:eastAsia="仿宋_GB2312" w:cs="仿宋_GB2312"/>
                <w:highlight w:val="none"/>
                <w:vertAlign w:val="superscript"/>
                <w:lang w:eastAsia="zh-CN" w:bidi="ar"/>
              </w:rPr>
              <w:t>2</w:t>
            </w:r>
            <w:r>
              <w:rPr>
                <w:rFonts w:hint="eastAsia" w:ascii="仿宋_GB2312" w:hAnsi="仿宋_GB2312" w:eastAsia="仿宋_GB2312" w:cs="仿宋_GB2312"/>
                <w:highlight w:val="none"/>
                <w:vertAlign w:val="baseline"/>
                <w:lang w:val="en-US" w:eastAsia="zh-CN"/>
              </w:rPr>
              <w:t>扣1分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有害生物防治</w:t>
            </w:r>
          </w:p>
        </w:tc>
        <w:tc>
          <w:tcPr>
            <w:tcW w:w="3847"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1.</w:t>
            </w:r>
            <w:r>
              <w:rPr>
                <w:rFonts w:hint="eastAsia" w:ascii="仿宋_GB2312" w:hAnsi="仿宋_GB2312" w:eastAsia="仿宋_GB2312" w:cs="仿宋_GB2312"/>
                <w:highlight w:val="none"/>
                <w:vertAlign w:val="baseline"/>
              </w:rPr>
              <w:t>基本无危害状</w:t>
            </w:r>
            <w:r>
              <w:rPr>
                <w:rFonts w:hint="eastAsia" w:ascii="仿宋_GB2312" w:hAnsi="仿宋_GB2312" w:eastAsia="仿宋_GB2312" w:cs="仿宋_GB2312"/>
                <w:highlight w:val="none"/>
                <w:vertAlign w:val="baseline"/>
                <w:lang w:eastAsia="zh-CN"/>
              </w:rPr>
              <w:t>；</w:t>
            </w:r>
            <w:r>
              <w:rPr>
                <w:rFonts w:hint="eastAsia" w:ascii="仿宋_GB2312" w:hAnsi="仿宋_GB2312" w:eastAsia="仿宋_GB2312" w:cs="仿宋_GB2312"/>
                <w:highlight w:val="none"/>
                <w:vertAlign w:val="baseline"/>
              </w:rPr>
              <w:t xml:space="preserve"> </w:t>
            </w:r>
          </w:p>
          <w:p>
            <w:r>
              <w:rPr>
                <w:rFonts w:hint="eastAsia" w:ascii="仿宋_GB2312" w:hAnsi="仿宋_GB2312" w:eastAsia="仿宋_GB2312" w:cs="仿宋_GB2312"/>
                <w:highlight w:val="none"/>
                <w:vertAlign w:val="baseline"/>
                <w:lang w:val="en-US" w:eastAsia="zh-CN"/>
              </w:rPr>
              <w:t>2.</w:t>
            </w:r>
            <w:r>
              <w:rPr>
                <w:rFonts w:hint="eastAsia" w:ascii="仿宋_GB2312" w:hAnsi="仿宋_GB2312" w:eastAsia="仿宋_GB2312" w:cs="仿宋_GB2312"/>
                <w:highlight w:val="none"/>
                <w:vertAlign w:val="baseline"/>
                <w:lang w:eastAsia="zh-CN"/>
              </w:rPr>
              <w:t>冷季型</w:t>
            </w:r>
            <w:r>
              <w:rPr>
                <w:rFonts w:hint="eastAsia" w:ascii="仿宋_GB2312" w:hAnsi="仿宋_GB2312" w:eastAsia="仿宋_GB2312" w:cs="仿宋_GB2312"/>
                <w:highlight w:val="none"/>
                <w:vertAlign w:val="baseline"/>
                <w:lang w:val="en-US" w:eastAsia="zh-CN"/>
              </w:rPr>
              <w:t>18次，暖季型4次</w:t>
            </w:r>
          </w:p>
          <w:p>
            <w:pPr>
              <w:jc w:val="both"/>
              <w:rPr>
                <w:rFonts w:hint="eastAsia" w:ascii="仿宋_GB2312" w:hAnsi="仿宋_GB2312" w:eastAsia="仿宋_GB2312" w:cs="仿宋_GB2312"/>
                <w:highlight w:val="none"/>
                <w:vertAlign w:val="baseline"/>
              </w:rPr>
            </w:pP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15</w:t>
            </w:r>
          </w:p>
        </w:tc>
        <w:tc>
          <w:tcPr>
            <w:tcW w:w="4771" w:type="dxa"/>
          </w:tcPr>
          <w:p>
            <w:pPr>
              <w:numPr>
                <w:ilvl w:val="0"/>
                <w:numId w:val="0"/>
              </w:numPr>
              <w:rPr>
                <w:rFonts w:hint="eastAsia" w:ascii="仿宋_GB2312" w:hAnsi="仿宋_GB2312" w:eastAsia="仿宋_GB2312" w:cs="仿宋_GB2312"/>
                <w:highlight w:val="none"/>
                <w:lang w:eastAsia="zh-CN" w:bidi="ar"/>
              </w:rPr>
            </w:pPr>
            <w:r>
              <w:rPr>
                <w:rFonts w:hint="eastAsia" w:ascii="仿宋_GB2312" w:hAnsi="仿宋_GB2312" w:eastAsia="仿宋_GB2312" w:cs="仿宋_GB2312"/>
                <w:highlight w:val="none"/>
                <w:lang w:val="en-US" w:eastAsia="zh-CN" w:bidi="ar"/>
              </w:rPr>
              <w:t>1.</w:t>
            </w:r>
            <w:r>
              <w:rPr>
                <w:rFonts w:hint="eastAsia" w:ascii="仿宋_GB2312" w:hAnsi="仿宋_GB2312" w:eastAsia="仿宋_GB2312" w:cs="仿宋_GB2312"/>
                <w:highlight w:val="none"/>
                <w:lang w:eastAsia="zh-CN" w:bidi="ar"/>
              </w:rPr>
              <w:t>病虫害防治不力，对草坪造成损害&gt;40cm</w:t>
            </w:r>
            <w:r>
              <w:rPr>
                <w:rFonts w:hint="eastAsia" w:ascii="仿宋_GB2312" w:hAnsi="仿宋_GB2312" w:eastAsia="仿宋_GB2312" w:cs="仿宋_GB2312"/>
                <w:highlight w:val="none"/>
                <w:vertAlign w:val="superscript"/>
                <w:lang w:eastAsia="zh-CN" w:bidi="ar"/>
              </w:rPr>
              <w:t>2</w:t>
            </w:r>
            <w:r>
              <w:rPr>
                <w:rFonts w:hint="eastAsia" w:ascii="仿宋_GB2312" w:hAnsi="仿宋_GB2312" w:eastAsia="仿宋_GB2312" w:cs="仿宋_GB2312"/>
                <w:highlight w:val="none"/>
                <w:vertAlign w:val="baseline"/>
                <w:lang w:val="en-US" w:eastAsia="zh-CN"/>
              </w:rPr>
              <w:t>扣1分</w:t>
            </w:r>
          </w:p>
          <w:p>
            <w:pP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lang w:val="en-US" w:eastAsia="zh-CN" w:bidi="ar"/>
              </w:rPr>
              <w:t>2.未按计划防治次数缺1次扣2分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eastAsia="zh-CN"/>
              </w:rPr>
              <w:t>浇水、施肥、修剪、中耕除草</w:t>
            </w:r>
          </w:p>
        </w:tc>
        <w:tc>
          <w:tcPr>
            <w:tcW w:w="3847" w:type="dxa"/>
            <w:vAlign w:val="center"/>
          </w:tcPr>
          <w:p>
            <w:pPr>
              <w:jc w:val="both"/>
              <w:rPr>
                <w:rFonts w:hint="default" w:ascii="仿宋_GB2312" w:hAnsi="仿宋_GB2312" w:eastAsia="仿宋_GB2312" w:cs="仿宋_GB2312"/>
                <w:highlight w:val="none"/>
                <w:vertAlign w:val="baseline"/>
                <w:lang w:val="en-US"/>
              </w:rPr>
            </w:pPr>
            <w:r>
              <w:rPr>
                <w:rFonts w:hint="eastAsia" w:ascii="仿宋_GB2312" w:hAnsi="仿宋_GB2312" w:eastAsia="仿宋_GB2312" w:cs="仿宋_GB2312"/>
                <w:highlight w:val="none"/>
                <w:vertAlign w:val="baseline"/>
                <w:lang w:eastAsia="zh-CN"/>
              </w:rPr>
              <w:t>不同品种全年浇水</w:t>
            </w:r>
            <w:r>
              <w:rPr>
                <w:rFonts w:hint="eastAsia" w:ascii="仿宋_GB2312" w:hAnsi="仿宋_GB2312" w:eastAsia="仿宋_GB2312" w:cs="仿宋_GB2312"/>
                <w:highlight w:val="none"/>
                <w:vertAlign w:val="baseline"/>
              </w:rPr>
              <w:t>冷季型</w:t>
            </w:r>
            <w:r>
              <w:rPr>
                <w:rFonts w:hint="eastAsia" w:ascii="仿宋_GB2312" w:hAnsi="仿宋_GB2312" w:eastAsia="仿宋_GB2312" w:cs="仿宋_GB2312"/>
                <w:highlight w:val="none"/>
                <w:vertAlign w:val="baseline"/>
                <w:lang w:val="en-US" w:eastAsia="zh-CN"/>
              </w:rPr>
              <w:t>25次</w:t>
            </w:r>
            <w:r>
              <w:rPr>
                <w:rFonts w:hint="eastAsia" w:ascii="仿宋_GB2312" w:hAnsi="仿宋_GB2312" w:eastAsia="仿宋_GB2312" w:cs="仿宋_GB2312"/>
                <w:highlight w:val="none"/>
                <w:vertAlign w:val="baseline"/>
              </w:rPr>
              <w:t>，暖季型</w:t>
            </w:r>
            <w:r>
              <w:rPr>
                <w:rFonts w:hint="eastAsia" w:ascii="仿宋_GB2312" w:hAnsi="仿宋_GB2312" w:eastAsia="仿宋_GB2312" w:cs="仿宋_GB2312"/>
                <w:highlight w:val="none"/>
                <w:vertAlign w:val="baseline"/>
                <w:lang w:val="en-US" w:eastAsia="zh-CN"/>
              </w:rPr>
              <w:t>12次；施肥</w:t>
            </w:r>
            <w:r>
              <w:rPr>
                <w:rFonts w:hint="eastAsia" w:ascii="仿宋_GB2312" w:hAnsi="仿宋_GB2312" w:eastAsia="仿宋_GB2312" w:cs="仿宋_GB2312"/>
                <w:highlight w:val="none"/>
                <w:vertAlign w:val="baseline"/>
              </w:rPr>
              <w:t>冷季型</w:t>
            </w:r>
            <w:r>
              <w:rPr>
                <w:rFonts w:hint="eastAsia" w:ascii="仿宋_GB2312" w:hAnsi="仿宋_GB2312" w:eastAsia="仿宋_GB2312" w:cs="仿宋_GB2312"/>
                <w:highlight w:val="none"/>
                <w:vertAlign w:val="baseline"/>
                <w:lang w:val="en-US" w:eastAsia="zh-CN"/>
              </w:rPr>
              <w:t>5次</w:t>
            </w:r>
            <w:r>
              <w:rPr>
                <w:rFonts w:hint="eastAsia" w:ascii="仿宋_GB2312" w:hAnsi="仿宋_GB2312" w:eastAsia="仿宋_GB2312" w:cs="仿宋_GB2312"/>
                <w:highlight w:val="none"/>
                <w:vertAlign w:val="baseline"/>
              </w:rPr>
              <w:t>，暖季型</w:t>
            </w:r>
            <w:r>
              <w:rPr>
                <w:rFonts w:hint="eastAsia" w:ascii="仿宋_GB2312" w:hAnsi="仿宋_GB2312" w:eastAsia="仿宋_GB2312" w:cs="仿宋_GB2312"/>
                <w:highlight w:val="none"/>
                <w:vertAlign w:val="baseline"/>
                <w:lang w:val="en-US" w:eastAsia="zh-CN"/>
              </w:rPr>
              <w:t>3次；修剪</w:t>
            </w:r>
            <w:r>
              <w:rPr>
                <w:rFonts w:hint="eastAsia" w:ascii="仿宋_GB2312" w:hAnsi="仿宋_GB2312" w:eastAsia="仿宋_GB2312" w:cs="仿宋_GB2312"/>
                <w:highlight w:val="none"/>
                <w:vertAlign w:val="baseline"/>
              </w:rPr>
              <w:t>冷季型</w:t>
            </w:r>
            <w:r>
              <w:rPr>
                <w:rFonts w:hint="eastAsia" w:ascii="仿宋_GB2312" w:hAnsi="仿宋_GB2312" w:eastAsia="仿宋_GB2312" w:cs="仿宋_GB2312"/>
                <w:highlight w:val="none"/>
                <w:vertAlign w:val="baseline"/>
                <w:lang w:val="en-US" w:eastAsia="zh-CN"/>
              </w:rPr>
              <w:t>18次</w:t>
            </w:r>
            <w:r>
              <w:rPr>
                <w:rFonts w:hint="eastAsia" w:ascii="仿宋_GB2312" w:hAnsi="仿宋_GB2312" w:eastAsia="仿宋_GB2312" w:cs="仿宋_GB2312"/>
                <w:highlight w:val="none"/>
                <w:vertAlign w:val="baseline"/>
              </w:rPr>
              <w:t>，暖季型</w:t>
            </w:r>
            <w:r>
              <w:rPr>
                <w:rFonts w:hint="eastAsia" w:ascii="仿宋_GB2312" w:hAnsi="仿宋_GB2312" w:eastAsia="仿宋_GB2312" w:cs="仿宋_GB2312"/>
                <w:highlight w:val="none"/>
                <w:vertAlign w:val="baseline"/>
                <w:lang w:val="en-US" w:eastAsia="zh-CN"/>
              </w:rPr>
              <w:t>5次；除草</w:t>
            </w:r>
            <w:r>
              <w:rPr>
                <w:rFonts w:hint="eastAsia" w:ascii="仿宋_GB2312" w:hAnsi="仿宋_GB2312" w:eastAsia="仿宋_GB2312" w:cs="仿宋_GB2312"/>
                <w:highlight w:val="none"/>
                <w:vertAlign w:val="baseline"/>
              </w:rPr>
              <w:t>冷季型</w:t>
            </w:r>
            <w:r>
              <w:rPr>
                <w:rFonts w:hint="eastAsia" w:ascii="仿宋_GB2312" w:hAnsi="仿宋_GB2312" w:eastAsia="仿宋_GB2312" w:cs="仿宋_GB2312"/>
                <w:highlight w:val="none"/>
                <w:vertAlign w:val="baseline"/>
                <w:lang w:val="en-US" w:eastAsia="zh-CN"/>
              </w:rPr>
              <w:t>5次</w:t>
            </w:r>
            <w:r>
              <w:rPr>
                <w:rFonts w:hint="eastAsia" w:ascii="仿宋_GB2312" w:hAnsi="仿宋_GB2312" w:eastAsia="仿宋_GB2312" w:cs="仿宋_GB2312"/>
                <w:highlight w:val="none"/>
                <w:vertAlign w:val="baseline"/>
              </w:rPr>
              <w:t>，暖季型</w:t>
            </w:r>
            <w:r>
              <w:rPr>
                <w:rFonts w:hint="eastAsia" w:ascii="仿宋_GB2312" w:hAnsi="仿宋_GB2312" w:eastAsia="仿宋_GB2312" w:cs="仿宋_GB2312"/>
                <w:highlight w:val="none"/>
                <w:vertAlign w:val="baseline"/>
                <w:lang w:val="en-US" w:eastAsia="zh-CN"/>
              </w:rPr>
              <w:t>3次；打孔梳草2次</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20</w:t>
            </w:r>
          </w:p>
        </w:tc>
        <w:tc>
          <w:tcPr>
            <w:tcW w:w="4771" w:type="dxa"/>
          </w:tcPr>
          <w:p>
            <w:pP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lang w:val="en-US" w:eastAsia="zh-CN" w:bidi="ar"/>
              </w:rPr>
              <w:t>未按计划服务次数缺1次扣2分。（</w:t>
            </w:r>
            <w:r>
              <w:rPr>
                <w:rFonts w:hint="eastAsia" w:ascii="仿宋_GB2312" w:hAnsi="仿宋_GB2312" w:eastAsia="仿宋_GB2312" w:cs="仿宋_GB2312"/>
                <w:highlight w:val="none"/>
                <w:vertAlign w:val="baseline"/>
                <w:lang w:eastAsia="zh-CN"/>
              </w:rPr>
              <w:t>全年天气异常次数可以</w:t>
            </w:r>
            <w:r>
              <w:rPr>
                <w:rFonts w:hint="eastAsia" w:ascii="仿宋_GB2312" w:hAnsi="仿宋_GB2312" w:eastAsia="仿宋_GB2312" w:cs="仿宋_GB2312"/>
                <w:highlight w:val="none"/>
                <w:vertAlign w:val="baseline"/>
              </w:rPr>
              <w:t>根据实际情况酌情减少扣分</w:t>
            </w:r>
            <w:r>
              <w:rPr>
                <w:rFonts w:hint="eastAsia" w:ascii="仿宋_GB2312" w:hAnsi="仿宋_GB2312" w:eastAsia="仿宋_GB2312" w:cs="仿宋_GB2312"/>
                <w:highlight w:val="none"/>
                <w:lang w:val="en-US" w:eastAsia="zh-CN" w:bidi="ar"/>
              </w:rPr>
              <w:t>）</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tcPr>
          <w:p>
            <w:pP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绿色期</w:t>
            </w:r>
          </w:p>
        </w:tc>
        <w:tc>
          <w:tcPr>
            <w:tcW w:w="3847" w:type="dxa"/>
          </w:tcPr>
          <w:p>
            <w:pPr>
              <w:rPr>
                <w:rFonts w:hint="default"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rPr>
              <w:t>冷季型草不低于</w:t>
            </w:r>
            <w:r>
              <w:rPr>
                <w:rFonts w:hint="eastAsia" w:ascii="仿宋_GB2312" w:hAnsi="仿宋_GB2312" w:eastAsia="仿宋_GB2312" w:cs="仿宋_GB2312"/>
                <w:highlight w:val="none"/>
                <w:vertAlign w:val="baseline"/>
                <w:lang w:val="en-US" w:eastAsia="zh-CN"/>
              </w:rPr>
              <w:t>300d</w:t>
            </w:r>
            <w:r>
              <w:rPr>
                <w:rFonts w:hint="eastAsia" w:ascii="仿宋_GB2312" w:hAnsi="仿宋_GB2312" w:eastAsia="仿宋_GB2312" w:cs="仿宋_GB2312"/>
                <w:highlight w:val="none"/>
                <w:vertAlign w:val="baseline"/>
              </w:rPr>
              <w:t>，暖季型草不少于</w:t>
            </w:r>
            <w:r>
              <w:rPr>
                <w:rFonts w:hint="eastAsia" w:ascii="仿宋_GB2312" w:hAnsi="仿宋_GB2312" w:eastAsia="仿宋_GB2312" w:cs="仿宋_GB2312"/>
                <w:highlight w:val="none"/>
                <w:vertAlign w:val="baseline"/>
                <w:lang w:val="en-US" w:eastAsia="zh-CN"/>
              </w:rPr>
              <w:t>210d</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5</w:t>
            </w:r>
          </w:p>
        </w:tc>
        <w:tc>
          <w:tcPr>
            <w:tcW w:w="4771" w:type="dxa"/>
            <w:vAlign w:val="center"/>
          </w:tcPr>
          <w:p>
            <w:pPr>
              <w:jc w:val="left"/>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每少7天扣1分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7" w:type="dxa"/>
            <w:gridSpan w:val="4"/>
            <w:shd w:val="clear" w:color="auto" w:fill="auto"/>
            <w:vAlign w:val="center"/>
          </w:tcPr>
          <w:p>
            <w:pPr>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b/>
                <w:bCs/>
                <w:highlight w:val="none"/>
                <w:vertAlign w:val="baseline"/>
                <w:lang w:val="en-US" w:eastAsia="zh-CN"/>
              </w:rPr>
              <w:t>权重</w:t>
            </w:r>
          </w:p>
        </w:tc>
        <w:tc>
          <w:tcPr>
            <w:tcW w:w="1274" w:type="dxa"/>
            <w:shd w:val="clear" w:color="auto" w:fill="auto"/>
            <w:vAlign w:val="center"/>
          </w:tcPr>
          <w:p>
            <w:pPr>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b/>
                <w:bCs/>
                <w:highlight w:val="none"/>
                <w:vertAlign w:val="baseline"/>
                <w:lang w:val="en-US" w:eastAsia="zh-CN"/>
              </w:rPr>
              <w:t>20%</w:t>
            </w:r>
          </w:p>
        </w:tc>
        <w:tc>
          <w:tcPr>
            <w:tcW w:w="4771" w:type="dxa"/>
            <w:shd w:val="clear" w:color="auto" w:fill="auto"/>
            <w:vAlign w:val="top"/>
          </w:tcPr>
          <w:p>
            <w:pPr>
              <w:numPr>
                <w:ilvl w:val="0"/>
                <w:numId w:val="0"/>
              </w:numPr>
              <w:ind w:left="0" w:leftChars="0" w:firstLine="0" w:firstLineChars="0"/>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b/>
                <w:bCs/>
                <w:highlight w:val="none"/>
                <w:lang w:val="en-US" w:eastAsia="zh-CN" w:bidi="ar"/>
              </w:rPr>
              <w:t>权重分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765" w:type="dxa"/>
            <w:vMerge w:val="restart"/>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4</w:t>
            </w:r>
          </w:p>
        </w:tc>
        <w:tc>
          <w:tcPr>
            <w:tcW w:w="1061" w:type="dxa"/>
            <w:vMerge w:val="restart"/>
            <w:vAlign w:val="center"/>
          </w:tcPr>
          <w:p>
            <w:pPr>
              <w:jc w:val="cente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竹类</w:t>
            </w:r>
          </w:p>
        </w:tc>
        <w:tc>
          <w:tcPr>
            <w:tcW w:w="1594"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整体效果</w:t>
            </w:r>
          </w:p>
        </w:tc>
        <w:tc>
          <w:tcPr>
            <w:tcW w:w="3847"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1.</w:t>
            </w:r>
            <w:r>
              <w:rPr>
                <w:rFonts w:hint="eastAsia" w:ascii="仿宋_GB2312" w:hAnsi="仿宋_GB2312" w:eastAsia="仿宋_GB2312" w:cs="仿宋_GB2312"/>
                <w:highlight w:val="none"/>
                <w:vertAlign w:val="baseline"/>
              </w:rPr>
              <w:t>竹竿挺直，枝叶青翠</w:t>
            </w:r>
          </w:p>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2.无</w:t>
            </w:r>
            <w:r>
              <w:rPr>
                <w:rFonts w:hint="eastAsia" w:ascii="仿宋_GB2312" w:hAnsi="仿宋_GB2312" w:eastAsia="仿宋_GB2312" w:cs="仿宋_GB2312"/>
                <w:highlight w:val="none"/>
                <w:vertAlign w:val="baseline"/>
              </w:rPr>
              <w:t>死竹及枯竹</w:t>
            </w:r>
          </w:p>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3.</w:t>
            </w:r>
            <w:r>
              <w:rPr>
                <w:rFonts w:hint="eastAsia" w:ascii="仿宋_GB2312" w:hAnsi="仿宋_GB2312" w:eastAsia="仿宋_GB2312" w:cs="仿宋_GB2312"/>
                <w:highlight w:val="none"/>
                <w:vertAlign w:val="baseline"/>
              </w:rPr>
              <w:t>有完整的林相</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p>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25</w:t>
            </w:r>
          </w:p>
          <w:p>
            <w:pPr>
              <w:jc w:val="center"/>
              <w:rPr>
                <w:rFonts w:hint="eastAsia" w:ascii="仿宋_GB2312" w:hAnsi="仿宋_GB2312" w:eastAsia="仿宋_GB2312" w:cs="仿宋_GB2312"/>
                <w:highlight w:val="none"/>
                <w:vertAlign w:val="baseline"/>
                <w:lang w:val="en-US" w:eastAsia="zh-CN"/>
              </w:rPr>
            </w:pPr>
          </w:p>
        </w:tc>
        <w:tc>
          <w:tcPr>
            <w:tcW w:w="4771" w:type="dxa"/>
          </w:tcPr>
          <w:p>
            <w:pPr>
              <w:numPr>
                <w:ilvl w:val="0"/>
                <w:numId w:val="0"/>
              </w:numPr>
              <w:rPr>
                <w:rFonts w:hint="eastAsia" w:ascii="仿宋_GB2312" w:hAnsi="仿宋_GB2312" w:eastAsia="仿宋_GB2312" w:cs="仿宋_GB2312"/>
                <w:highlight w:val="none"/>
                <w:lang w:val="en-US" w:eastAsia="zh-CN" w:bidi="ar"/>
              </w:rPr>
            </w:pPr>
            <w:r>
              <w:rPr>
                <w:rFonts w:hint="eastAsia" w:ascii="仿宋_GB2312" w:hAnsi="仿宋_GB2312" w:eastAsia="仿宋_GB2312" w:cs="仿宋_GB2312"/>
                <w:highlight w:val="none"/>
                <w:vertAlign w:val="baseline"/>
                <w:lang w:val="en-US" w:eastAsia="zh-CN"/>
              </w:rPr>
              <w:t>1.</w:t>
            </w:r>
            <w:r>
              <w:rPr>
                <w:rFonts w:hint="eastAsia" w:ascii="仿宋_GB2312" w:hAnsi="仿宋_GB2312" w:eastAsia="仿宋_GB2312" w:cs="仿宋_GB2312"/>
                <w:highlight w:val="none"/>
                <w:vertAlign w:val="baseline"/>
              </w:rPr>
              <w:t>死竹及枯竹</w:t>
            </w:r>
            <w:r>
              <w:rPr>
                <w:rFonts w:hint="eastAsia" w:ascii="仿宋_GB2312" w:hAnsi="仿宋_GB2312" w:eastAsia="仿宋_GB2312" w:cs="仿宋_GB2312"/>
                <w:highlight w:val="none"/>
                <w:lang w:val="en-US" w:eastAsia="zh-CN" w:bidi="ar"/>
              </w:rPr>
              <w:t>未及时更换，每株扣0.5分</w:t>
            </w:r>
          </w:p>
          <w:p>
            <w:pPr>
              <w:numPr>
                <w:ilvl w:val="0"/>
                <w:numId w:val="0"/>
              </w:numPr>
              <w:rPr>
                <w:rFonts w:hint="eastAsia" w:ascii="仿宋_GB2312" w:hAnsi="仿宋_GB2312" w:eastAsia="仿宋_GB2312" w:cs="仿宋_GB2312"/>
                <w:highlight w:val="none"/>
                <w:lang w:val="en-US" w:eastAsia="zh-CN" w:bidi="ar"/>
              </w:rPr>
            </w:pPr>
            <w:r>
              <w:rPr>
                <w:rFonts w:hint="eastAsia" w:ascii="仿宋_GB2312" w:hAnsi="仿宋_GB2312" w:eastAsia="仿宋_GB2312" w:cs="仿宋_GB2312"/>
                <w:highlight w:val="none"/>
                <w:lang w:val="en-US" w:eastAsia="zh-CN" w:bidi="ar"/>
              </w:rPr>
              <w:t>2.竹子生长不良，枝叶枯黄、竹干细弱，每株扣0.5分</w:t>
            </w:r>
          </w:p>
          <w:p>
            <w:pPr>
              <w:numPr>
                <w:ilvl w:val="0"/>
                <w:numId w:val="0"/>
              </w:numPr>
              <w:rPr>
                <w:rFonts w:hint="eastAsia" w:ascii="仿宋_GB2312" w:hAnsi="仿宋_GB2312" w:eastAsia="仿宋_GB2312" w:cs="仿宋_GB2312"/>
                <w:highlight w:val="none"/>
                <w:lang w:val="en-US" w:eastAsia="zh-CN" w:bidi="ar"/>
              </w:rPr>
            </w:pPr>
            <w:r>
              <w:rPr>
                <w:rFonts w:hint="eastAsia" w:ascii="仿宋_GB2312" w:hAnsi="仿宋_GB2312" w:eastAsia="仿宋_GB2312" w:cs="仿宋_GB2312"/>
                <w:highlight w:val="none"/>
                <w:lang w:val="en-US" w:eastAsia="zh-CN" w:bidi="ar"/>
              </w:rPr>
              <w:t>3.竹林杂乱无章，层次不明显，布局欠佳，有一定数量杂草，与周围环境格格不入扣分1分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生长势</w:t>
            </w:r>
          </w:p>
        </w:tc>
        <w:tc>
          <w:tcPr>
            <w:tcW w:w="3847"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1.</w:t>
            </w:r>
            <w:r>
              <w:rPr>
                <w:rFonts w:hint="eastAsia" w:ascii="仿宋_GB2312" w:hAnsi="仿宋_GB2312" w:eastAsia="仿宋_GB2312" w:cs="仿宋_GB2312"/>
                <w:highlight w:val="none"/>
                <w:vertAlign w:val="baseline"/>
              </w:rPr>
              <w:t>竹丛通风透光，植株生长健壮</w:t>
            </w:r>
          </w:p>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2.</w:t>
            </w:r>
            <w:r>
              <w:rPr>
                <w:rFonts w:hint="eastAsia" w:ascii="仿宋_GB2312" w:hAnsi="仿宋_GB2312" w:eastAsia="仿宋_GB2312" w:cs="仿宋_GB2312"/>
                <w:highlight w:val="none"/>
                <w:vertAlign w:val="baseline"/>
              </w:rPr>
              <w:t>新、老竹生长比例适当</w:t>
            </w:r>
          </w:p>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3.</w:t>
            </w:r>
            <w:r>
              <w:rPr>
                <w:rFonts w:hint="eastAsia" w:ascii="仿宋_GB2312" w:hAnsi="仿宋_GB2312" w:eastAsia="仿宋_GB2312" w:cs="仿宋_GB2312"/>
                <w:highlight w:val="none"/>
                <w:vertAlign w:val="baseline"/>
              </w:rPr>
              <w:t>竹鞭无裸露</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25</w:t>
            </w:r>
          </w:p>
          <w:p>
            <w:pPr>
              <w:jc w:val="center"/>
              <w:rPr>
                <w:rFonts w:hint="eastAsia" w:ascii="仿宋_GB2312" w:hAnsi="仿宋_GB2312" w:eastAsia="仿宋_GB2312" w:cs="仿宋_GB2312"/>
                <w:highlight w:val="none"/>
                <w:vertAlign w:val="baseline"/>
                <w:lang w:val="en-US" w:eastAsia="zh-CN"/>
              </w:rPr>
            </w:pPr>
          </w:p>
        </w:tc>
        <w:tc>
          <w:tcPr>
            <w:tcW w:w="4771" w:type="dxa"/>
            <w:vAlign w:val="center"/>
          </w:tcPr>
          <w:p>
            <w:pPr>
              <w:numPr>
                <w:ilvl w:val="0"/>
                <w:numId w:val="0"/>
              </w:numPr>
              <w:jc w:val="both"/>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1.</w:t>
            </w:r>
            <w:r>
              <w:rPr>
                <w:rFonts w:hint="eastAsia" w:ascii="仿宋_GB2312" w:hAnsi="仿宋_GB2312" w:eastAsia="仿宋_GB2312" w:cs="仿宋_GB2312"/>
                <w:highlight w:val="none"/>
                <w:vertAlign w:val="baseline"/>
              </w:rPr>
              <w:t>竹鞭</w:t>
            </w:r>
            <w:r>
              <w:rPr>
                <w:rFonts w:hint="eastAsia" w:ascii="仿宋_GB2312" w:hAnsi="仿宋_GB2312" w:eastAsia="仿宋_GB2312" w:cs="仿宋_GB2312"/>
                <w:highlight w:val="none"/>
                <w:vertAlign w:val="baseline"/>
                <w:lang w:eastAsia="zh-CN"/>
              </w:rPr>
              <w:t>裸露</w:t>
            </w:r>
            <w:r>
              <w:rPr>
                <w:rFonts w:hint="eastAsia" w:ascii="仿宋_GB2312" w:hAnsi="仿宋_GB2312" w:eastAsia="仿宋_GB2312" w:cs="仿宋_GB2312"/>
                <w:highlight w:val="none"/>
                <w:vertAlign w:val="baseline"/>
                <w:lang w:val="en-US" w:eastAsia="zh-CN"/>
              </w:rPr>
              <w:t>每株扣0.5分</w:t>
            </w:r>
          </w:p>
          <w:p>
            <w:pPr>
              <w:numPr>
                <w:ilvl w:val="0"/>
                <w:numId w:val="0"/>
              </w:numPr>
              <w:jc w:val="both"/>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2.新、老竹比例严重失衡，竹子生长稀疏，空缺较多，株距混乱扣1分</w:t>
            </w:r>
          </w:p>
          <w:p>
            <w:pPr>
              <w:numPr>
                <w:ilvl w:val="0"/>
                <w:numId w:val="0"/>
              </w:numPr>
              <w:jc w:val="both"/>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3.大量枯黄竹株，倒伏现象普遍扣2分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tcPr>
          <w:p>
            <w:pP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排灌</w:t>
            </w:r>
          </w:p>
        </w:tc>
        <w:tc>
          <w:tcPr>
            <w:tcW w:w="3847" w:type="dxa"/>
          </w:tcPr>
          <w:p>
            <w:pP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植株无失水萎蔫现象</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25</w:t>
            </w:r>
          </w:p>
        </w:tc>
        <w:tc>
          <w:tcPr>
            <w:tcW w:w="4771" w:type="dxa"/>
          </w:tcPr>
          <w:p>
            <w:pP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出现失水萎蔫和沥涝现象</w:t>
            </w:r>
            <w:r>
              <w:rPr>
                <w:rFonts w:hint="eastAsia" w:ascii="仿宋_GB2312" w:hAnsi="仿宋_GB2312" w:eastAsia="仿宋_GB2312" w:cs="仿宋_GB2312"/>
                <w:highlight w:val="none"/>
                <w:vertAlign w:val="baseline"/>
                <w:lang w:eastAsia="zh-CN"/>
              </w:rPr>
              <w:t>，</w:t>
            </w:r>
            <w:r>
              <w:rPr>
                <w:rFonts w:hint="eastAsia" w:ascii="仿宋_GB2312" w:hAnsi="仿宋_GB2312" w:eastAsia="仿宋_GB2312" w:cs="仿宋_GB2312"/>
                <w:highlight w:val="none"/>
                <w:vertAlign w:val="baseline"/>
                <w:lang w:val="en-US" w:eastAsia="zh-CN"/>
              </w:rPr>
              <w:t>扣1分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tcPr>
          <w:p>
            <w:pP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eastAsia="zh-CN"/>
              </w:rPr>
              <w:t>浇水、施肥、修剪、中耕除草</w:t>
            </w:r>
          </w:p>
        </w:tc>
        <w:tc>
          <w:tcPr>
            <w:tcW w:w="3847" w:type="dxa"/>
          </w:tcPr>
          <w:p>
            <w:pP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全年浇水12次，施肥2次，修剪1次，除草4次</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15</w:t>
            </w:r>
          </w:p>
        </w:tc>
        <w:tc>
          <w:tcPr>
            <w:tcW w:w="4771" w:type="dxa"/>
          </w:tcPr>
          <w:p>
            <w:pP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lang w:val="en-US" w:eastAsia="zh-CN" w:bidi="ar"/>
              </w:rPr>
              <w:t>未按计划服务次数缺1次扣2分。（</w:t>
            </w:r>
            <w:r>
              <w:rPr>
                <w:rFonts w:hint="eastAsia" w:ascii="仿宋_GB2312" w:hAnsi="仿宋_GB2312" w:eastAsia="仿宋_GB2312" w:cs="仿宋_GB2312"/>
                <w:highlight w:val="none"/>
                <w:vertAlign w:val="baseline"/>
                <w:lang w:eastAsia="zh-CN"/>
              </w:rPr>
              <w:t>全年天气异常次数可以</w:t>
            </w:r>
            <w:r>
              <w:rPr>
                <w:rFonts w:hint="eastAsia" w:ascii="仿宋_GB2312" w:hAnsi="仿宋_GB2312" w:eastAsia="仿宋_GB2312" w:cs="仿宋_GB2312"/>
                <w:highlight w:val="none"/>
                <w:vertAlign w:val="baseline"/>
              </w:rPr>
              <w:t>根据实际情况酌情减少扣分</w:t>
            </w:r>
            <w:r>
              <w:rPr>
                <w:rFonts w:hint="eastAsia" w:ascii="仿宋_GB2312" w:hAnsi="仿宋_GB2312" w:eastAsia="仿宋_GB2312" w:cs="仿宋_GB2312"/>
                <w:highlight w:val="none"/>
                <w:lang w:val="en-US" w:eastAsia="zh-CN" w:bidi="ar"/>
              </w:rPr>
              <w:t>）</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shd w:val="clear" w:color="auto" w:fill="auto"/>
            <w:vAlign w:val="center"/>
          </w:tcPr>
          <w:p>
            <w:pPr>
              <w:jc w:val="both"/>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highlight w:val="none"/>
                <w:vertAlign w:val="baseline"/>
              </w:rPr>
              <w:t>有害生物防治</w:t>
            </w:r>
          </w:p>
        </w:tc>
        <w:tc>
          <w:tcPr>
            <w:tcW w:w="3847" w:type="dxa"/>
            <w:shd w:val="clear" w:color="auto" w:fill="auto"/>
            <w:vAlign w:val="top"/>
          </w:tcPr>
          <w:p>
            <w:pP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1.</w:t>
            </w:r>
            <w:r>
              <w:rPr>
                <w:rFonts w:hint="eastAsia" w:ascii="仿宋_GB2312" w:hAnsi="仿宋_GB2312" w:eastAsia="仿宋_GB2312" w:cs="仿宋_GB2312"/>
                <w:highlight w:val="none"/>
                <w:vertAlign w:val="baseline"/>
              </w:rPr>
              <w:t>基本无危害状</w:t>
            </w:r>
          </w:p>
          <w:p>
            <w:pPr>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2.</w:t>
            </w:r>
            <w:r>
              <w:rPr>
                <w:rFonts w:hint="eastAsia" w:ascii="仿宋_GB2312" w:hAnsi="仿宋_GB2312" w:eastAsia="仿宋_GB2312" w:cs="仿宋_GB2312"/>
                <w:highlight w:val="none"/>
                <w:vertAlign w:val="baseline"/>
              </w:rPr>
              <w:t>竹叶、竹梢、竹竿受害率控制在≤5%。</w:t>
            </w:r>
          </w:p>
          <w:p/>
          <w:p>
            <w:pP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highlight w:val="none"/>
                <w:vertAlign w:val="baseline"/>
                <w:lang w:val="en-US" w:eastAsia="zh-CN"/>
              </w:rPr>
              <w:t>3.全年防治8次</w:t>
            </w:r>
          </w:p>
        </w:tc>
        <w:tc>
          <w:tcPr>
            <w:tcW w:w="1274" w:type="dxa"/>
            <w:shd w:val="clear" w:color="auto" w:fill="auto"/>
            <w:vAlign w:val="center"/>
          </w:tcPr>
          <w:p>
            <w:pPr>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highlight w:val="none"/>
                <w:vertAlign w:val="baseline"/>
                <w:lang w:val="en-US" w:eastAsia="zh-CN"/>
              </w:rPr>
              <w:t>10</w:t>
            </w:r>
          </w:p>
        </w:tc>
        <w:tc>
          <w:tcPr>
            <w:tcW w:w="4771" w:type="dxa"/>
            <w:shd w:val="clear" w:color="auto" w:fill="auto"/>
            <w:vAlign w:val="top"/>
          </w:tcPr>
          <w:p>
            <w:pPr>
              <w:numPr>
                <w:ilvl w:val="0"/>
                <w:numId w:val="0"/>
              </w:numPr>
              <w:rPr>
                <w:rFonts w:hint="eastAsia" w:ascii="仿宋_GB2312" w:hAnsi="仿宋_GB2312" w:eastAsia="仿宋_GB2312" w:cs="仿宋_GB2312"/>
                <w:highlight w:val="none"/>
                <w:lang w:eastAsia="zh-CN" w:bidi="ar"/>
              </w:rPr>
            </w:pPr>
            <w:r>
              <w:rPr>
                <w:rFonts w:hint="eastAsia" w:ascii="仿宋_GB2312" w:hAnsi="仿宋_GB2312" w:eastAsia="仿宋_GB2312" w:cs="仿宋_GB2312"/>
                <w:highlight w:val="none"/>
                <w:lang w:val="en-US" w:eastAsia="zh-CN" w:bidi="ar"/>
              </w:rPr>
              <w:t>1.</w:t>
            </w:r>
            <w:r>
              <w:rPr>
                <w:rFonts w:hint="eastAsia" w:ascii="仿宋_GB2312" w:hAnsi="仿宋_GB2312" w:eastAsia="仿宋_GB2312" w:cs="仿宋_GB2312"/>
                <w:highlight w:val="none"/>
                <w:lang w:eastAsia="zh-CN" w:bidi="ar"/>
              </w:rPr>
              <w:t>病虫害防治不力，对植物造成损害。</w:t>
            </w:r>
            <w:r>
              <w:rPr>
                <w:rFonts w:hint="eastAsia" w:ascii="仿宋_GB2312" w:hAnsi="仿宋_GB2312" w:eastAsia="仿宋_GB2312" w:cs="仿宋_GB2312"/>
                <w:highlight w:val="none"/>
                <w:lang w:val="en-US" w:eastAsia="zh-CN" w:bidi="ar"/>
              </w:rPr>
              <w:t>每株</w:t>
            </w:r>
            <w:r>
              <w:rPr>
                <w:rFonts w:hint="eastAsia" w:ascii="仿宋_GB2312" w:hAnsi="仿宋_GB2312" w:eastAsia="仿宋_GB2312" w:cs="仿宋_GB2312"/>
                <w:highlight w:val="none"/>
                <w:lang w:eastAsia="zh-CN" w:bidi="ar"/>
              </w:rPr>
              <w:t>扣</w:t>
            </w:r>
            <w:r>
              <w:rPr>
                <w:rFonts w:hint="eastAsia" w:ascii="仿宋_GB2312" w:hAnsi="仿宋_GB2312" w:eastAsia="仿宋_GB2312" w:cs="仿宋_GB2312"/>
                <w:highlight w:val="none"/>
                <w:lang w:val="en-US" w:eastAsia="zh-CN" w:bidi="ar"/>
              </w:rPr>
              <w:t>0.5</w:t>
            </w:r>
            <w:r>
              <w:rPr>
                <w:rFonts w:hint="eastAsia" w:ascii="仿宋_GB2312" w:hAnsi="仿宋_GB2312" w:eastAsia="仿宋_GB2312" w:cs="仿宋_GB2312"/>
                <w:highlight w:val="none"/>
                <w:lang w:eastAsia="zh-CN" w:bidi="ar"/>
              </w:rPr>
              <w:t>分</w:t>
            </w:r>
          </w:p>
          <w:p>
            <w:pP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highlight w:val="none"/>
                <w:lang w:val="en-US" w:eastAsia="zh-CN" w:bidi="ar"/>
              </w:rPr>
              <w:t>2.未按计划防治次数缺1次扣2分</w:t>
            </w:r>
          </w:p>
        </w:tc>
        <w:tc>
          <w:tcPr>
            <w:tcW w:w="1140" w:type="dxa"/>
            <w:shd w:val="clear" w:color="auto" w:fill="auto"/>
            <w:vAlign w:val="top"/>
          </w:tcPr>
          <w:p>
            <w:pPr>
              <w:rPr>
                <w:rFonts w:hint="eastAsia" w:ascii="仿宋_GB2312" w:hAnsi="仿宋_GB2312" w:eastAsia="仿宋_GB2312" w:cs="仿宋_GB2312"/>
                <w:kern w:val="2"/>
                <w:sz w:val="21"/>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267" w:type="dxa"/>
            <w:gridSpan w:val="4"/>
            <w:shd w:val="clear" w:color="auto" w:fill="auto"/>
            <w:vAlign w:val="center"/>
          </w:tcPr>
          <w:p>
            <w:pPr>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b/>
                <w:bCs/>
                <w:highlight w:val="none"/>
                <w:vertAlign w:val="baseline"/>
                <w:lang w:val="en-US" w:eastAsia="zh-CN"/>
              </w:rPr>
              <w:t>权重</w:t>
            </w:r>
          </w:p>
        </w:tc>
        <w:tc>
          <w:tcPr>
            <w:tcW w:w="1274" w:type="dxa"/>
            <w:shd w:val="clear" w:color="auto" w:fill="auto"/>
            <w:vAlign w:val="center"/>
          </w:tcPr>
          <w:p>
            <w:pPr>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b/>
                <w:bCs/>
                <w:highlight w:val="none"/>
                <w:vertAlign w:val="baseline"/>
                <w:lang w:val="en-US" w:eastAsia="zh-CN"/>
              </w:rPr>
              <w:t>15%</w:t>
            </w:r>
          </w:p>
        </w:tc>
        <w:tc>
          <w:tcPr>
            <w:tcW w:w="4771" w:type="dxa"/>
            <w:shd w:val="clear" w:color="auto" w:fill="auto"/>
            <w:vAlign w:val="top"/>
          </w:tcPr>
          <w:p>
            <w:pPr>
              <w:numPr>
                <w:ilvl w:val="0"/>
                <w:numId w:val="0"/>
              </w:numPr>
              <w:ind w:left="0" w:leftChars="0" w:firstLine="0" w:firstLineChars="0"/>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b/>
                <w:bCs/>
                <w:highlight w:val="none"/>
                <w:lang w:val="en-US" w:eastAsia="zh-CN" w:bidi="ar"/>
              </w:rPr>
              <w:t>权重分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5</w:t>
            </w:r>
          </w:p>
        </w:tc>
        <w:tc>
          <w:tcPr>
            <w:tcW w:w="1061" w:type="dxa"/>
            <w:vMerge w:val="restart"/>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水生植物</w:t>
            </w:r>
          </w:p>
        </w:tc>
        <w:tc>
          <w:tcPr>
            <w:tcW w:w="1594"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整体效果</w:t>
            </w:r>
          </w:p>
        </w:tc>
        <w:tc>
          <w:tcPr>
            <w:tcW w:w="3847" w:type="dxa"/>
            <w:vAlign w:val="center"/>
          </w:tcPr>
          <w:p>
            <w:pPr>
              <w:numPr>
                <w:ilvl w:val="-1"/>
                <w:numId w:val="0"/>
              </w:numPr>
              <w:jc w:val="left"/>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1.</w:t>
            </w:r>
            <w:r>
              <w:rPr>
                <w:rFonts w:hint="eastAsia" w:ascii="仿宋_GB2312" w:hAnsi="仿宋_GB2312" w:eastAsia="仿宋_GB2312" w:cs="仿宋_GB2312"/>
                <w:highlight w:val="none"/>
                <w:vertAlign w:val="baseline"/>
              </w:rPr>
              <w:t>景观效果美观</w:t>
            </w:r>
            <w:r>
              <w:rPr>
                <w:rFonts w:hint="eastAsia" w:ascii="仿宋_GB2312" w:hAnsi="仿宋_GB2312" w:eastAsia="仿宋_GB2312" w:cs="仿宋_GB2312"/>
                <w:highlight w:val="none"/>
                <w:vertAlign w:val="baseline"/>
                <w:lang w:val="en-US" w:eastAsia="zh-CN"/>
              </w:rPr>
              <w:t>,</w:t>
            </w:r>
            <w:r>
              <w:rPr>
                <w:rFonts w:hint="eastAsia" w:ascii="仿宋_GB2312" w:hAnsi="仿宋_GB2312" w:eastAsia="仿宋_GB2312" w:cs="仿宋_GB2312"/>
                <w:highlight w:val="none"/>
                <w:vertAlign w:val="baseline"/>
              </w:rPr>
              <w:t>无残花败叶漂浮。</w:t>
            </w:r>
          </w:p>
          <w:p>
            <w:pPr>
              <w:numPr>
                <w:ilvl w:val="-1"/>
                <w:numId w:val="0"/>
              </w:numPr>
              <w:jc w:val="left"/>
              <w:rPr>
                <w:rFonts w:hint="default" w:ascii="仿宋_GB2312" w:hAnsi="仿宋_GB2312" w:eastAsia="仿宋_GB2312" w:cs="仿宋_GB2312"/>
                <w:highlight w:val="none"/>
                <w:vertAlign w:val="baseline"/>
                <w:lang w:val="en-US"/>
              </w:rPr>
            </w:pPr>
            <w:r>
              <w:rPr>
                <w:rFonts w:hint="eastAsia" w:ascii="仿宋_GB2312" w:hAnsi="仿宋_GB2312" w:eastAsia="仿宋_GB2312" w:cs="仿宋_GB2312"/>
                <w:highlight w:val="none"/>
                <w:vertAlign w:val="baseline"/>
                <w:lang w:val="en-US" w:eastAsia="zh-CN"/>
              </w:rPr>
              <w:t>2.水生植物覆盖度</w:t>
            </w:r>
            <w:r>
              <w:rPr>
                <w:rFonts w:hint="eastAsia" w:ascii="仿宋_GB2312" w:hAnsi="仿宋_GB2312" w:eastAsia="仿宋_GB2312" w:cs="仿宋_GB2312"/>
                <w:highlight w:val="none"/>
                <w:vertAlign w:val="baseline"/>
              </w:rPr>
              <w:t>≥</w:t>
            </w:r>
            <w:r>
              <w:rPr>
                <w:rFonts w:hint="eastAsia" w:ascii="仿宋_GB2312" w:hAnsi="仿宋_GB2312" w:eastAsia="仿宋_GB2312" w:cs="仿宋_GB2312"/>
                <w:highlight w:val="none"/>
                <w:vertAlign w:val="baseline"/>
                <w:lang w:val="en-US" w:eastAsia="zh-CN"/>
              </w:rPr>
              <w:t xml:space="preserve">60% </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25</w:t>
            </w:r>
          </w:p>
        </w:tc>
        <w:tc>
          <w:tcPr>
            <w:tcW w:w="4771" w:type="dxa"/>
          </w:tcPr>
          <w:p>
            <w:pPr>
              <w:numPr>
                <w:ilvl w:val="0"/>
                <w:numId w:val="3"/>
              </w:numP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与周围环境格格不入，层次和色彩有一定缺陷，影响整体景观扣1分</w:t>
            </w:r>
          </w:p>
          <w:p>
            <w:pPr>
              <w:numPr>
                <w:ilvl w:val="0"/>
                <w:numId w:val="3"/>
              </w:numP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水面杂草、浮萍未及时清理扣1分</w:t>
            </w:r>
          </w:p>
          <w:p>
            <w:pPr>
              <w:numPr>
                <w:ilvl w:val="0"/>
                <w:numId w:val="3"/>
              </w:numP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覆盖度少1%扣1分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5" w:type="dxa"/>
            <w:vMerge w:val="continue"/>
            <w:vAlign w:val="center"/>
          </w:tcPr>
          <w:p>
            <w:pPr>
              <w:jc w:val="center"/>
              <w:rPr>
                <w:rFonts w:hint="eastAsia" w:ascii="仿宋_GB2312" w:hAnsi="仿宋_GB2312" w:eastAsia="仿宋_GB2312" w:cs="仿宋_GB2312"/>
                <w:highlight w:val="none"/>
                <w:vertAlign w:val="baseline"/>
              </w:rPr>
            </w:pPr>
          </w:p>
        </w:tc>
        <w:tc>
          <w:tcPr>
            <w:tcW w:w="1061" w:type="dxa"/>
            <w:vMerge w:val="continue"/>
            <w:vAlign w:val="center"/>
          </w:tcPr>
          <w:p>
            <w:pPr>
              <w:jc w:val="both"/>
              <w:rPr>
                <w:rFonts w:hint="eastAsia" w:ascii="仿宋_GB2312" w:hAnsi="仿宋_GB2312" w:eastAsia="仿宋_GB2312" w:cs="仿宋_GB2312"/>
                <w:highlight w:val="none"/>
                <w:vertAlign w:val="baseline"/>
              </w:rPr>
            </w:pPr>
          </w:p>
        </w:tc>
        <w:tc>
          <w:tcPr>
            <w:tcW w:w="1594"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生长势</w:t>
            </w:r>
          </w:p>
        </w:tc>
        <w:tc>
          <w:tcPr>
            <w:tcW w:w="3847"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1.</w:t>
            </w:r>
            <w:r>
              <w:rPr>
                <w:rFonts w:hint="eastAsia" w:ascii="仿宋_GB2312" w:hAnsi="仿宋_GB2312" w:eastAsia="仿宋_GB2312" w:cs="仿宋_GB2312"/>
                <w:highlight w:val="none"/>
                <w:vertAlign w:val="baseline"/>
              </w:rPr>
              <w:t>植株生长健壮</w:t>
            </w:r>
          </w:p>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2.</w:t>
            </w:r>
            <w:r>
              <w:rPr>
                <w:rFonts w:hint="eastAsia" w:ascii="仿宋_GB2312" w:hAnsi="仿宋_GB2312" w:eastAsia="仿宋_GB2312" w:cs="仿宋_GB2312"/>
                <w:highlight w:val="none"/>
                <w:vertAlign w:val="baseline"/>
              </w:rPr>
              <w:t>叶色正常；观花、观果植株正常开花结果；花开艳丽</w:t>
            </w:r>
          </w:p>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4.无</w:t>
            </w:r>
            <w:r>
              <w:rPr>
                <w:rFonts w:hint="eastAsia" w:ascii="仿宋_GB2312" w:hAnsi="仿宋_GB2312" w:eastAsia="仿宋_GB2312" w:cs="仿宋_GB2312"/>
                <w:highlight w:val="none"/>
                <w:vertAlign w:val="baseline"/>
              </w:rPr>
              <w:t>枯死植株。</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25</w:t>
            </w:r>
          </w:p>
        </w:tc>
        <w:tc>
          <w:tcPr>
            <w:tcW w:w="4771" w:type="dxa"/>
          </w:tcPr>
          <w:p>
            <w:pPr>
              <w:numPr>
                <w:ilvl w:val="0"/>
                <w:numId w:val="0"/>
              </w:numP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1.开花数量较少，花色暗淡，花期较短，未正常开花或结果，未达到预期景观要求扣1分</w:t>
            </w:r>
          </w:p>
          <w:p>
            <w:pPr>
              <w:numPr>
                <w:ilvl w:val="0"/>
                <w:numId w:val="0"/>
              </w:numP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2.植株生长一般，枯黄或病叶较多扣1分</w:t>
            </w:r>
          </w:p>
          <w:p>
            <w:pPr>
              <w:numPr>
                <w:ilvl w:val="0"/>
                <w:numId w:val="0"/>
              </w:numPr>
              <w:rPr>
                <w:rFonts w:hint="eastAsia" w:ascii="仿宋_GB2312" w:hAnsi="仿宋_GB2312" w:eastAsia="仿宋_GB2312" w:cs="仿宋_GB2312"/>
                <w:highlight w:val="none"/>
                <w:lang w:val="en-US" w:eastAsia="zh-CN" w:bidi="ar"/>
              </w:rPr>
            </w:pPr>
            <w:r>
              <w:rPr>
                <w:rFonts w:hint="eastAsia" w:ascii="仿宋_GB2312" w:hAnsi="仿宋_GB2312" w:eastAsia="仿宋_GB2312" w:cs="仿宋_GB2312"/>
                <w:highlight w:val="none"/>
                <w:vertAlign w:val="baseline"/>
                <w:lang w:val="en-US" w:eastAsia="zh-CN"/>
              </w:rPr>
              <w:t>3.死植株未</w:t>
            </w:r>
            <w:r>
              <w:rPr>
                <w:rFonts w:hint="eastAsia" w:ascii="仿宋_GB2312" w:hAnsi="仿宋_GB2312" w:eastAsia="仿宋_GB2312" w:cs="仿宋_GB2312"/>
                <w:highlight w:val="none"/>
                <w:lang w:val="en-US" w:eastAsia="zh-CN" w:bidi="ar"/>
              </w:rPr>
              <w:t>及时更换，每株扣1分</w:t>
            </w:r>
          </w:p>
          <w:p>
            <w:pPr>
              <w:rPr>
                <w:rFonts w:hint="eastAsia" w:ascii="仿宋_GB2312" w:hAnsi="仿宋_GB2312" w:eastAsia="仿宋_GB2312" w:cs="仿宋_GB2312"/>
                <w:highlight w:val="none"/>
                <w:vertAlign w:val="baseline"/>
              </w:rPr>
            </w:pP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vAlign w:val="center"/>
          </w:tcPr>
          <w:p>
            <w:pPr>
              <w:jc w:val="center"/>
              <w:rPr>
                <w:rFonts w:hint="eastAsia" w:ascii="仿宋_GB2312" w:hAnsi="仿宋_GB2312" w:eastAsia="仿宋_GB2312" w:cs="仿宋_GB2312"/>
                <w:highlight w:val="none"/>
                <w:vertAlign w:val="baseline"/>
              </w:rPr>
            </w:pPr>
          </w:p>
        </w:tc>
        <w:tc>
          <w:tcPr>
            <w:tcW w:w="1061" w:type="dxa"/>
            <w:vMerge w:val="continue"/>
            <w:vAlign w:val="center"/>
          </w:tcPr>
          <w:p>
            <w:pPr>
              <w:jc w:val="both"/>
              <w:rPr>
                <w:rFonts w:hint="eastAsia" w:ascii="仿宋_GB2312" w:hAnsi="仿宋_GB2312" w:eastAsia="仿宋_GB2312" w:cs="仿宋_GB2312"/>
                <w:highlight w:val="none"/>
                <w:vertAlign w:val="baseline"/>
              </w:rPr>
            </w:pPr>
          </w:p>
        </w:tc>
        <w:tc>
          <w:tcPr>
            <w:tcW w:w="1594"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排灌</w:t>
            </w:r>
          </w:p>
        </w:tc>
        <w:tc>
          <w:tcPr>
            <w:tcW w:w="3847"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rPr>
              <w:t>暴雨后12 h 恢复常水位</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10</w:t>
            </w:r>
          </w:p>
        </w:tc>
        <w:tc>
          <w:tcPr>
            <w:tcW w:w="4771" w:type="dxa"/>
          </w:tcPr>
          <w:p>
            <w:pP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eastAsia="zh-CN"/>
              </w:rPr>
              <w:t>未及时恢复常水位扣</w:t>
            </w:r>
            <w:r>
              <w:rPr>
                <w:rFonts w:hint="eastAsia" w:ascii="仿宋_GB2312" w:hAnsi="仿宋_GB2312" w:eastAsia="仿宋_GB2312" w:cs="仿宋_GB2312"/>
                <w:highlight w:val="none"/>
                <w:vertAlign w:val="baseline"/>
                <w:lang w:val="en-US" w:eastAsia="zh-CN"/>
              </w:rPr>
              <w:t>1分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vAlign w:val="center"/>
          </w:tcPr>
          <w:p>
            <w:pPr>
              <w:jc w:val="center"/>
              <w:rPr>
                <w:rFonts w:hint="eastAsia" w:ascii="仿宋_GB2312" w:hAnsi="仿宋_GB2312" w:eastAsia="仿宋_GB2312" w:cs="仿宋_GB2312"/>
                <w:highlight w:val="none"/>
                <w:vertAlign w:val="baseline"/>
              </w:rPr>
            </w:pPr>
          </w:p>
        </w:tc>
        <w:tc>
          <w:tcPr>
            <w:tcW w:w="1061" w:type="dxa"/>
            <w:vMerge w:val="continue"/>
            <w:vAlign w:val="center"/>
          </w:tcPr>
          <w:p>
            <w:pPr>
              <w:jc w:val="both"/>
              <w:rPr>
                <w:rFonts w:hint="eastAsia" w:ascii="仿宋_GB2312" w:hAnsi="仿宋_GB2312" w:eastAsia="仿宋_GB2312" w:cs="仿宋_GB2312"/>
                <w:highlight w:val="none"/>
                <w:vertAlign w:val="baseline"/>
              </w:rPr>
            </w:pPr>
          </w:p>
        </w:tc>
        <w:tc>
          <w:tcPr>
            <w:tcW w:w="1594" w:type="dxa"/>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eastAsia="zh-CN"/>
              </w:rPr>
              <w:t>施肥、修剪、中耕除草</w:t>
            </w:r>
          </w:p>
        </w:tc>
        <w:tc>
          <w:tcPr>
            <w:tcW w:w="3847" w:type="dxa"/>
            <w:vAlign w:val="center"/>
          </w:tcPr>
          <w:p>
            <w:pPr>
              <w:jc w:val="both"/>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eastAsia="zh-CN"/>
              </w:rPr>
              <w:t>全年施肥</w:t>
            </w:r>
            <w:r>
              <w:rPr>
                <w:rFonts w:hint="eastAsia" w:ascii="仿宋_GB2312" w:hAnsi="仿宋_GB2312" w:eastAsia="仿宋_GB2312" w:cs="仿宋_GB2312"/>
                <w:highlight w:val="none"/>
                <w:vertAlign w:val="baseline"/>
                <w:lang w:val="en-US" w:eastAsia="zh-CN"/>
              </w:rPr>
              <w:t>2次，修剪2次，除草3次</w:t>
            </w:r>
          </w:p>
        </w:tc>
        <w:tc>
          <w:tcPr>
            <w:tcW w:w="1274" w:type="dxa"/>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20</w:t>
            </w:r>
          </w:p>
        </w:tc>
        <w:tc>
          <w:tcPr>
            <w:tcW w:w="4771" w:type="dxa"/>
            <w:vAlign w:val="center"/>
          </w:tcPr>
          <w:p>
            <w:pPr>
              <w:jc w:val="left"/>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lang w:val="en-US" w:eastAsia="zh-CN" w:bidi="ar"/>
              </w:rPr>
              <w:t>未按计划服务次数缺1次扣2分。（</w:t>
            </w:r>
            <w:r>
              <w:rPr>
                <w:rFonts w:hint="eastAsia" w:ascii="仿宋_GB2312" w:hAnsi="仿宋_GB2312" w:eastAsia="仿宋_GB2312" w:cs="仿宋_GB2312"/>
                <w:highlight w:val="none"/>
                <w:vertAlign w:val="baseline"/>
                <w:lang w:eastAsia="zh-CN"/>
              </w:rPr>
              <w:t>全年天气异常次数可以</w:t>
            </w:r>
            <w:r>
              <w:rPr>
                <w:rFonts w:hint="eastAsia" w:ascii="仿宋_GB2312" w:hAnsi="仿宋_GB2312" w:eastAsia="仿宋_GB2312" w:cs="仿宋_GB2312"/>
                <w:highlight w:val="none"/>
                <w:vertAlign w:val="baseline"/>
              </w:rPr>
              <w:t>根据实际情况酌情减少扣分</w:t>
            </w:r>
            <w:r>
              <w:rPr>
                <w:rFonts w:hint="eastAsia" w:ascii="仿宋_GB2312" w:hAnsi="仿宋_GB2312" w:eastAsia="仿宋_GB2312" w:cs="仿宋_GB2312"/>
                <w:highlight w:val="none"/>
                <w:lang w:val="en-US" w:eastAsia="zh-CN" w:bidi="ar"/>
              </w:rPr>
              <w:t>）</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shd w:val="clear" w:color="auto" w:fill="auto"/>
            <w:vAlign w:val="center"/>
          </w:tcPr>
          <w:p>
            <w:pPr>
              <w:jc w:val="center"/>
              <w:rPr>
                <w:rFonts w:hint="eastAsia" w:ascii="仿宋_GB2312" w:hAnsi="仿宋_GB2312" w:eastAsia="仿宋_GB2312" w:cs="仿宋_GB2312"/>
                <w:kern w:val="2"/>
                <w:sz w:val="21"/>
                <w:szCs w:val="24"/>
                <w:highlight w:val="none"/>
                <w:vertAlign w:val="baseline"/>
                <w:lang w:val="en-US" w:eastAsia="zh-CN" w:bidi="ar-SA"/>
              </w:rPr>
            </w:pPr>
          </w:p>
        </w:tc>
        <w:tc>
          <w:tcPr>
            <w:tcW w:w="1061" w:type="dxa"/>
            <w:vMerge w:val="continue"/>
            <w:shd w:val="clear" w:color="auto" w:fill="auto"/>
            <w:vAlign w:val="center"/>
          </w:tcPr>
          <w:p>
            <w:pPr>
              <w:jc w:val="both"/>
              <w:rPr>
                <w:rFonts w:hint="eastAsia" w:ascii="仿宋_GB2312" w:hAnsi="仿宋_GB2312" w:eastAsia="仿宋_GB2312" w:cs="仿宋_GB2312"/>
                <w:kern w:val="2"/>
                <w:sz w:val="21"/>
                <w:szCs w:val="24"/>
                <w:highlight w:val="none"/>
                <w:vertAlign w:val="baseline"/>
                <w:lang w:val="en-US" w:eastAsia="zh-CN" w:bidi="ar-SA"/>
              </w:rPr>
            </w:pPr>
          </w:p>
        </w:tc>
        <w:tc>
          <w:tcPr>
            <w:tcW w:w="1594" w:type="dxa"/>
            <w:shd w:val="clear" w:color="auto" w:fill="auto"/>
            <w:vAlign w:val="center"/>
          </w:tcPr>
          <w:p>
            <w:pPr>
              <w:jc w:val="both"/>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highlight w:val="none"/>
                <w:vertAlign w:val="baseline"/>
              </w:rPr>
              <w:t>有害生物防治</w:t>
            </w:r>
          </w:p>
        </w:tc>
        <w:tc>
          <w:tcPr>
            <w:tcW w:w="3847" w:type="dxa"/>
            <w:shd w:val="clear" w:color="auto" w:fill="auto"/>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vertAlign w:val="baseline"/>
                <w:lang w:val="en-US" w:eastAsia="zh-CN"/>
              </w:rPr>
              <w:t>1.</w:t>
            </w:r>
            <w:r>
              <w:rPr>
                <w:rFonts w:hint="eastAsia" w:ascii="仿宋_GB2312" w:hAnsi="仿宋_GB2312" w:eastAsia="仿宋_GB2312" w:cs="仿宋_GB2312"/>
                <w:highlight w:val="none"/>
                <w:vertAlign w:val="baseline"/>
              </w:rPr>
              <w:t>基本无危害状</w:t>
            </w:r>
          </w:p>
          <w:p>
            <w:pPr>
              <w:jc w:val="both"/>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highlight w:val="none"/>
                <w:vertAlign w:val="baseline"/>
                <w:lang w:val="en-US" w:eastAsia="zh-CN"/>
              </w:rPr>
              <w:t>2.全年防治4次</w:t>
            </w:r>
          </w:p>
        </w:tc>
        <w:tc>
          <w:tcPr>
            <w:tcW w:w="1274" w:type="dxa"/>
            <w:shd w:val="clear" w:color="auto" w:fill="auto"/>
            <w:vAlign w:val="center"/>
          </w:tcPr>
          <w:p>
            <w:pPr>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highlight w:val="none"/>
                <w:vertAlign w:val="baseline"/>
                <w:lang w:val="en-US" w:eastAsia="zh-CN"/>
              </w:rPr>
              <w:t>20</w:t>
            </w:r>
          </w:p>
        </w:tc>
        <w:tc>
          <w:tcPr>
            <w:tcW w:w="4771" w:type="dxa"/>
            <w:shd w:val="clear" w:color="auto" w:fill="auto"/>
            <w:vAlign w:val="top"/>
          </w:tcPr>
          <w:p>
            <w:pPr>
              <w:numPr>
                <w:ilvl w:val="0"/>
                <w:numId w:val="0"/>
              </w:numPr>
              <w:rPr>
                <w:rFonts w:hint="eastAsia" w:ascii="仿宋_GB2312" w:hAnsi="仿宋_GB2312" w:eastAsia="仿宋_GB2312" w:cs="仿宋_GB2312"/>
                <w:highlight w:val="none"/>
                <w:lang w:eastAsia="zh-CN" w:bidi="ar"/>
              </w:rPr>
            </w:pPr>
            <w:r>
              <w:rPr>
                <w:rFonts w:hint="eastAsia" w:ascii="仿宋_GB2312" w:hAnsi="仿宋_GB2312" w:eastAsia="仿宋_GB2312" w:cs="仿宋_GB2312"/>
                <w:highlight w:val="none"/>
                <w:lang w:val="en-US" w:eastAsia="zh-CN" w:bidi="ar"/>
              </w:rPr>
              <w:t>1.</w:t>
            </w:r>
            <w:r>
              <w:rPr>
                <w:rFonts w:hint="eastAsia" w:ascii="仿宋_GB2312" w:hAnsi="仿宋_GB2312" w:eastAsia="仿宋_GB2312" w:cs="仿宋_GB2312"/>
                <w:highlight w:val="none"/>
                <w:lang w:eastAsia="zh-CN" w:bidi="ar"/>
              </w:rPr>
              <w:t>病虫害防治不力，对植物造成损害。</w:t>
            </w:r>
            <w:r>
              <w:rPr>
                <w:rFonts w:hint="eastAsia" w:ascii="仿宋_GB2312" w:hAnsi="仿宋_GB2312" w:eastAsia="仿宋_GB2312" w:cs="仿宋_GB2312"/>
                <w:highlight w:val="none"/>
                <w:lang w:val="en-US" w:eastAsia="zh-CN" w:bidi="ar"/>
              </w:rPr>
              <w:t>每株</w:t>
            </w:r>
            <w:r>
              <w:rPr>
                <w:rFonts w:hint="eastAsia" w:ascii="仿宋_GB2312" w:hAnsi="仿宋_GB2312" w:eastAsia="仿宋_GB2312" w:cs="仿宋_GB2312"/>
                <w:highlight w:val="none"/>
                <w:lang w:eastAsia="zh-CN" w:bidi="ar"/>
              </w:rPr>
              <w:t>扣</w:t>
            </w:r>
            <w:r>
              <w:rPr>
                <w:rFonts w:hint="eastAsia" w:ascii="仿宋_GB2312" w:hAnsi="仿宋_GB2312" w:eastAsia="仿宋_GB2312" w:cs="仿宋_GB2312"/>
                <w:highlight w:val="none"/>
                <w:lang w:val="en-US" w:eastAsia="zh-CN" w:bidi="ar"/>
              </w:rPr>
              <w:t>0.5</w:t>
            </w:r>
            <w:r>
              <w:rPr>
                <w:rFonts w:hint="eastAsia" w:ascii="仿宋_GB2312" w:hAnsi="仿宋_GB2312" w:eastAsia="仿宋_GB2312" w:cs="仿宋_GB2312"/>
                <w:highlight w:val="none"/>
                <w:lang w:eastAsia="zh-CN" w:bidi="ar"/>
              </w:rPr>
              <w:t>分。</w:t>
            </w:r>
          </w:p>
          <w:p>
            <w:pP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highlight w:val="none"/>
                <w:lang w:val="en-US" w:eastAsia="zh-CN" w:bidi="ar"/>
              </w:rPr>
              <w:t>2.未按计划防治次数缺1次扣2分。</w:t>
            </w:r>
          </w:p>
        </w:tc>
        <w:tc>
          <w:tcPr>
            <w:tcW w:w="1140" w:type="dxa"/>
            <w:shd w:val="clear" w:color="auto" w:fill="auto"/>
            <w:vAlign w:val="top"/>
          </w:tcPr>
          <w:p>
            <w:pPr>
              <w:rPr>
                <w:rFonts w:hint="eastAsia" w:ascii="仿宋_GB2312" w:hAnsi="仿宋_GB2312" w:eastAsia="仿宋_GB2312" w:cs="仿宋_GB2312"/>
                <w:kern w:val="2"/>
                <w:sz w:val="21"/>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7" w:type="dxa"/>
            <w:gridSpan w:val="4"/>
            <w:shd w:val="clear" w:color="auto" w:fill="auto"/>
            <w:vAlign w:val="center"/>
          </w:tcPr>
          <w:p>
            <w:pPr>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b/>
                <w:bCs/>
                <w:highlight w:val="none"/>
                <w:vertAlign w:val="baseline"/>
                <w:lang w:val="en-US" w:eastAsia="zh-CN"/>
              </w:rPr>
              <w:t>权重</w:t>
            </w:r>
          </w:p>
        </w:tc>
        <w:tc>
          <w:tcPr>
            <w:tcW w:w="1274" w:type="dxa"/>
            <w:shd w:val="clear" w:color="auto" w:fill="auto"/>
            <w:vAlign w:val="center"/>
          </w:tcPr>
          <w:p>
            <w:pPr>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b/>
                <w:bCs/>
                <w:highlight w:val="none"/>
                <w:vertAlign w:val="baseline"/>
                <w:lang w:val="en-US" w:eastAsia="zh-CN"/>
              </w:rPr>
              <w:t>15%</w:t>
            </w:r>
          </w:p>
        </w:tc>
        <w:tc>
          <w:tcPr>
            <w:tcW w:w="4771" w:type="dxa"/>
            <w:shd w:val="clear" w:color="auto" w:fill="auto"/>
            <w:vAlign w:val="top"/>
          </w:tcPr>
          <w:p>
            <w:pPr>
              <w:numPr>
                <w:ilvl w:val="0"/>
                <w:numId w:val="0"/>
              </w:numPr>
              <w:ind w:left="0" w:leftChars="0" w:firstLine="0" w:firstLineChars="0"/>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b/>
                <w:bCs/>
                <w:highlight w:val="none"/>
                <w:lang w:val="en-US" w:eastAsia="zh-CN" w:bidi="ar"/>
              </w:rPr>
              <w:t>权重分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65" w:type="dxa"/>
            <w:vMerge w:val="restart"/>
            <w:vAlign w:val="center"/>
          </w:tcPr>
          <w:p>
            <w:pPr>
              <w:jc w:val="cente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6</w:t>
            </w:r>
          </w:p>
        </w:tc>
        <w:tc>
          <w:tcPr>
            <w:tcW w:w="1061" w:type="dxa"/>
            <w:vMerge w:val="restart"/>
            <w:vAlign w:val="center"/>
          </w:tcPr>
          <w:p>
            <w:pPr>
              <w:jc w:val="both"/>
              <w:rPr>
                <w:rFonts w:hint="eastAsia" w:ascii="仿宋_GB2312" w:hAnsi="仿宋_GB2312" w:eastAsia="仿宋_GB2312" w:cs="仿宋_GB2312"/>
                <w:highlight w:val="none"/>
                <w:vertAlign w:val="baseline"/>
                <w:lang w:eastAsia="zh-CN"/>
              </w:rPr>
            </w:pPr>
            <w:r>
              <w:rPr>
                <w:rFonts w:hint="eastAsia" w:ascii="仿宋_GB2312" w:hAnsi="仿宋_GB2312" w:eastAsia="仿宋_GB2312" w:cs="仿宋_GB2312"/>
                <w:highlight w:val="none"/>
                <w:lang w:eastAsia="zh-CN" w:bidi="ar"/>
              </w:rPr>
              <w:t>供应商</w:t>
            </w:r>
          </w:p>
        </w:tc>
        <w:tc>
          <w:tcPr>
            <w:tcW w:w="1594" w:type="dxa"/>
            <w:vMerge w:val="restart"/>
            <w:vAlign w:val="center"/>
          </w:tcPr>
          <w:p>
            <w:pPr>
              <w:jc w:val="both"/>
              <w:rPr>
                <w:rFonts w:hint="eastAsia" w:ascii="仿宋_GB2312" w:hAnsi="仿宋_GB2312" w:eastAsia="仿宋_GB2312" w:cs="仿宋_GB2312"/>
                <w:highlight w:val="none"/>
                <w:vertAlign w:val="baseline"/>
                <w:lang w:eastAsia="zh-CN"/>
              </w:rPr>
            </w:pPr>
            <w:r>
              <w:rPr>
                <w:rFonts w:hint="eastAsia" w:ascii="仿宋_GB2312" w:hAnsi="仿宋_GB2312" w:eastAsia="仿宋_GB2312" w:cs="仿宋_GB2312"/>
                <w:highlight w:val="none"/>
                <w:lang w:eastAsia="zh-CN" w:bidi="ar"/>
              </w:rPr>
              <w:t>管理</w:t>
            </w: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擅自更换项目负责人或施工主要人员</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5</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w:t>
            </w:r>
            <w:r>
              <w:rPr>
                <w:rFonts w:hint="eastAsia" w:ascii="仿宋_GB2312" w:hAnsi="仿宋_GB2312" w:eastAsia="仿宋_GB2312" w:cs="仿宋_GB2312"/>
                <w:highlight w:val="none"/>
                <w:lang w:val="en-US" w:eastAsia="zh-CN" w:bidi="ar"/>
              </w:rPr>
              <w:t>2</w:t>
            </w:r>
            <w:r>
              <w:rPr>
                <w:rFonts w:hint="eastAsia" w:ascii="仿宋_GB2312" w:hAnsi="仿宋_GB2312" w:eastAsia="仿宋_GB2312" w:cs="仿宋_GB2312"/>
                <w:highlight w:val="none"/>
                <w:lang w:eastAsia="zh-CN" w:bidi="ar"/>
              </w:rPr>
              <w:t>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甲方提出某人员工作不力而不及时撤换的</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5</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w:t>
            </w:r>
            <w:r>
              <w:rPr>
                <w:rFonts w:hint="eastAsia" w:ascii="仿宋_GB2312" w:hAnsi="仿宋_GB2312" w:eastAsia="仿宋_GB2312" w:cs="仿宋_GB2312"/>
                <w:highlight w:val="none"/>
                <w:lang w:val="en-US" w:eastAsia="zh-CN" w:bidi="ar"/>
              </w:rPr>
              <w:t>2</w:t>
            </w:r>
            <w:r>
              <w:rPr>
                <w:rFonts w:hint="eastAsia" w:ascii="仿宋_GB2312" w:hAnsi="仿宋_GB2312" w:eastAsia="仿宋_GB2312" w:cs="仿宋_GB2312"/>
                <w:highlight w:val="none"/>
                <w:lang w:eastAsia="zh-CN" w:bidi="ar"/>
              </w:rPr>
              <w:t>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不按时参加专业协调会、专题例会及各项检查者</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5</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w:t>
            </w:r>
            <w:r>
              <w:rPr>
                <w:rFonts w:hint="eastAsia" w:ascii="仿宋_GB2312" w:hAnsi="仿宋_GB2312" w:eastAsia="仿宋_GB2312" w:cs="仿宋_GB2312"/>
                <w:highlight w:val="none"/>
                <w:lang w:val="en-US" w:eastAsia="zh-CN" w:bidi="ar"/>
              </w:rPr>
              <w:t>2</w:t>
            </w:r>
            <w:r>
              <w:rPr>
                <w:rFonts w:hint="eastAsia" w:ascii="仿宋_GB2312" w:hAnsi="仿宋_GB2312" w:eastAsia="仿宋_GB2312" w:cs="仿宋_GB2312"/>
                <w:highlight w:val="none"/>
                <w:lang w:eastAsia="zh-CN" w:bidi="ar"/>
              </w:rPr>
              <w:t>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对专题╱专业例会或协调会决定、议定的事项和明确要求未按时完成的</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10</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w:t>
            </w:r>
            <w:r>
              <w:rPr>
                <w:rFonts w:hint="eastAsia" w:ascii="仿宋_GB2312" w:hAnsi="仿宋_GB2312" w:eastAsia="仿宋_GB2312" w:cs="仿宋_GB2312"/>
                <w:highlight w:val="none"/>
                <w:lang w:val="en-US" w:eastAsia="zh-CN" w:bidi="ar"/>
              </w:rPr>
              <w:t>5</w:t>
            </w:r>
            <w:r>
              <w:rPr>
                <w:rFonts w:hint="eastAsia" w:ascii="仿宋_GB2312" w:hAnsi="仿宋_GB2312" w:eastAsia="仿宋_GB2312" w:cs="仿宋_GB2312"/>
                <w:highlight w:val="none"/>
                <w:lang w:eastAsia="zh-CN" w:bidi="ar"/>
              </w:rPr>
              <w:t>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不及时提交施工进度、养护计划、养护方案等文件资料的</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10</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w:t>
            </w:r>
            <w:r>
              <w:rPr>
                <w:rFonts w:hint="eastAsia" w:ascii="仿宋_GB2312" w:hAnsi="仿宋_GB2312" w:eastAsia="仿宋_GB2312" w:cs="仿宋_GB2312"/>
                <w:highlight w:val="none"/>
                <w:lang w:val="en-US" w:eastAsia="zh-CN" w:bidi="ar"/>
              </w:rPr>
              <w:t>5</w:t>
            </w:r>
            <w:r>
              <w:rPr>
                <w:rFonts w:hint="eastAsia" w:ascii="仿宋_GB2312" w:hAnsi="仿宋_GB2312" w:eastAsia="仿宋_GB2312" w:cs="仿宋_GB2312"/>
                <w:highlight w:val="none"/>
                <w:lang w:eastAsia="zh-CN" w:bidi="ar"/>
              </w:rPr>
              <w:t>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对违反甲方规章制度、不服从管理、劝阻不听，发现未穿工服，佩戴工牌</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10</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w:t>
            </w:r>
            <w:r>
              <w:rPr>
                <w:rFonts w:hint="eastAsia" w:ascii="仿宋_GB2312" w:hAnsi="仿宋_GB2312" w:eastAsia="仿宋_GB2312" w:cs="仿宋_GB2312"/>
                <w:highlight w:val="none"/>
                <w:lang w:val="en-US" w:eastAsia="zh-CN" w:bidi="ar"/>
              </w:rPr>
              <w:t>5</w:t>
            </w:r>
            <w:r>
              <w:rPr>
                <w:rFonts w:hint="eastAsia" w:ascii="仿宋_GB2312" w:hAnsi="仿宋_GB2312" w:eastAsia="仿宋_GB2312" w:cs="仿宋_GB2312"/>
                <w:highlight w:val="none"/>
                <w:lang w:eastAsia="zh-CN" w:bidi="ar"/>
              </w:rPr>
              <w:t>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对甲方以工作联系单或发文（函）等形式发出的指令或要求未按期执行的</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10</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未按照管理要求及规定执行，1次扣2分。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产生的垃圾未及时清理，现场管理混乱，文明施工较差的现场</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5</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w:t>
            </w:r>
            <w:r>
              <w:rPr>
                <w:rFonts w:hint="eastAsia" w:ascii="仿宋_GB2312" w:hAnsi="仿宋_GB2312" w:eastAsia="仿宋_GB2312" w:cs="仿宋_GB2312"/>
                <w:highlight w:val="none"/>
                <w:lang w:val="en-US" w:eastAsia="zh-CN" w:bidi="ar"/>
              </w:rPr>
              <w:t>2</w:t>
            </w:r>
            <w:r>
              <w:rPr>
                <w:rFonts w:hint="eastAsia" w:ascii="仿宋_GB2312" w:hAnsi="仿宋_GB2312" w:eastAsia="仿宋_GB2312" w:cs="仿宋_GB2312"/>
                <w:highlight w:val="none"/>
                <w:lang w:eastAsia="zh-CN" w:bidi="ar"/>
              </w:rPr>
              <w:t>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因成品保护不到位，造成原有设备设施外观或使用功能损坏，应承担设备设施更换或维修所需全部费用</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10</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w:t>
            </w:r>
            <w:r>
              <w:rPr>
                <w:rFonts w:hint="eastAsia" w:ascii="仿宋_GB2312" w:hAnsi="仿宋_GB2312" w:eastAsia="仿宋_GB2312" w:cs="仿宋_GB2312"/>
                <w:highlight w:val="none"/>
                <w:lang w:val="en-US" w:eastAsia="zh-CN" w:bidi="ar"/>
              </w:rPr>
              <w:t>5</w:t>
            </w:r>
            <w:r>
              <w:rPr>
                <w:rFonts w:hint="eastAsia" w:ascii="仿宋_GB2312" w:hAnsi="仿宋_GB2312" w:eastAsia="仿宋_GB2312" w:cs="仿宋_GB2312"/>
                <w:highlight w:val="none"/>
                <w:lang w:eastAsia="zh-CN" w:bidi="ar"/>
              </w:rPr>
              <w:t>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违反国家相关法律法规或合同约定条款的</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10</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w:t>
            </w:r>
            <w:r>
              <w:rPr>
                <w:rFonts w:hint="eastAsia" w:ascii="仿宋_GB2312" w:hAnsi="仿宋_GB2312" w:eastAsia="仿宋_GB2312" w:cs="仿宋_GB2312"/>
                <w:highlight w:val="none"/>
                <w:lang w:val="en-US" w:eastAsia="zh-CN" w:bidi="ar"/>
              </w:rPr>
              <w:t>5</w:t>
            </w:r>
            <w:r>
              <w:rPr>
                <w:rFonts w:hint="eastAsia" w:ascii="仿宋_GB2312" w:hAnsi="仿宋_GB2312" w:eastAsia="仿宋_GB2312" w:cs="仿宋_GB2312"/>
                <w:highlight w:val="none"/>
                <w:lang w:eastAsia="zh-CN" w:bidi="ar"/>
              </w:rPr>
              <w:t>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在灾难性天气及突发事件的抢救中，不配合完成任务的</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10</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w:t>
            </w:r>
            <w:r>
              <w:rPr>
                <w:rFonts w:hint="eastAsia" w:ascii="仿宋_GB2312" w:hAnsi="仿宋_GB2312" w:eastAsia="仿宋_GB2312" w:cs="仿宋_GB2312"/>
                <w:highlight w:val="none"/>
                <w:lang w:val="en-US" w:eastAsia="zh-CN" w:bidi="ar"/>
              </w:rPr>
              <w:t>5</w:t>
            </w:r>
            <w:r>
              <w:rPr>
                <w:rFonts w:hint="eastAsia" w:ascii="仿宋_GB2312" w:hAnsi="仿宋_GB2312" w:eastAsia="仿宋_GB2312" w:cs="仿宋_GB2312"/>
                <w:highlight w:val="none"/>
                <w:lang w:eastAsia="zh-CN" w:bidi="ar"/>
              </w:rPr>
              <w:t>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未完成领导交代的其他工作事项。</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10</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未按照管理要求及规定执行，1次扣2分。</w:t>
            </w:r>
          </w:p>
        </w:tc>
        <w:tc>
          <w:tcPr>
            <w:tcW w:w="1140" w:type="dxa"/>
            <w:shd w:val="clear" w:color="auto" w:fill="auto"/>
            <w:vAlign w:val="top"/>
          </w:tcPr>
          <w:p>
            <w:pPr>
              <w:rPr>
                <w:rFonts w:hint="eastAsia" w:ascii="仿宋_GB2312" w:hAnsi="仿宋_GB2312" w:eastAsia="仿宋_GB2312" w:cs="仿宋_GB2312"/>
                <w:kern w:val="2"/>
                <w:sz w:val="21"/>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7" w:type="dxa"/>
            <w:gridSpan w:val="4"/>
            <w:shd w:val="clear" w:color="auto" w:fill="auto"/>
            <w:vAlign w:val="center"/>
          </w:tcPr>
          <w:p>
            <w:pPr>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b/>
                <w:bCs/>
                <w:highlight w:val="none"/>
                <w:vertAlign w:val="baseline"/>
                <w:lang w:val="en-US" w:eastAsia="zh-CN"/>
              </w:rPr>
              <w:t>权重</w:t>
            </w:r>
          </w:p>
        </w:tc>
        <w:tc>
          <w:tcPr>
            <w:tcW w:w="1274" w:type="dxa"/>
            <w:shd w:val="clear" w:color="auto" w:fill="auto"/>
            <w:vAlign w:val="center"/>
          </w:tcPr>
          <w:p>
            <w:pPr>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b/>
                <w:bCs/>
                <w:highlight w:val="none"/>
                <w:vertAlign w:val="baseline"/>
                <w:lang w:val="en-US" w:eastAsia="zh-CN"/>
              </w:rPr>
              <w:t>3%</w:t>
            </w:r>
          </w:p>
        </w:tc>
        <w:tc>
          <w:tcPr>
            <w:tcW w:w="4771" w:type="dxa"/>
            <w:shd w:val="clear" w:color="auto" w:fill="auto"/>
            <w:vAlign w:val="top"/>
          </w:tcPr>
          <w:p>
            <w:pPr>
              <w:numPr>
                <w:ilvl w:val="0"/>
                <w:numId w:val="0"/>
              </w:numPr>
              <w:ind w:left="0" w:leftChars="0" w:firstLine="0" w:firstLineChars="0"/>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b/>
                <w:bCs/>
                <w:highlight w:val="none"/>
                <w:lang w:val="en-US" w:eastAsia="zh-CN" w:bidi="ar"/>
              </w:rPr>
              <w:t>权重分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tcPr>
          <w:p>
            <w:pPr>
              <w:rPr>
                <w:rFonts w:hint="eastAsia" w:ascii="仿宋_GB2312" w:hAnsi="仿宋_GB2312" w:eastAsia="仿宋_GB2312" w:cs="仿宋_GB2312"/>
                <w:highlight w:val="none"/>
                <w:vertAlign w:val="baseline"/>
              </w:rPr>
            </w:pPr>
          </w:p>
        </w:tc>
        <w:tc>
          <w:tcPr>
            <w:tcW w:w="1061" w:type="dxa"/>
            <w:vMerge w:val="restart"/>
          </w:tcPr>
          <w:p>
            <w:pPr>
              <w:rPr>
                <w:rFonts w:hint="eastAsia" w:ascii="仿宋_GB2312" w:hAnsi="仿宋_GB2312" w:eastAsia="仿宋_GB2312" w:cs="仿宋_GB2312"/>
                <w:highlight w:val="none"/>
                <w:vertAlign w:val="baseline"/>
              </w:rPr>
            </w:pPr>
          </w:p>
        </w:tc>
        <w:tc>
          <w:tcPr>
            <w:tcW w:w="1594" w:type="dxa"/>
            <w:vMerge w:val="restart"/>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lang w:eastAsia="zh-CN" w:bidi="ar"/>
              </w:rPr>
              <w:t>安全及质量管控</w:t>
            </w: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未经甲方准许私自修改养护、维修方案、施工方案及施工工艺要求的</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10</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未按照管理要求及规定执行，1次扣2分。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每天作业结束后，收好各类物品材料，查看设备设施情况，在确认无任何安全问题、隐患后方可离开现场</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5</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w:t>
            </w:r>
            <w:r>
              <w:rPr>
                <w:rFonts w:hint="eastAsia" w:ascii="仿宋_GB2312" w:hAnsi="仿宋_GB2312" w:eastAsia="仿宋_GB2312" w:cs="仿宋_GB2312"/>
                <w:highlight w:val="none"/>
                <w:lang w:val="en-US" w:eastAsia="zh-CN" w:bidi="ar"/>
              </w:rPr>
              <w:t>2</w:t>
            </w:r>
            <w:r>
              <w:rPr>
                <w:rFonts w:hint="eastAsia" w:ascii="仿宋_GB2312" w:hAnsi="仿宋_GB2312" w:eastAsia="仿宋_GB2312" w:cs="仿宋_GB2312"/>
                <w:highlight w:val="none"/>
                <w:lang w:eastAsia="zh-CN" w:bidi="ar"/>
              </w:rPr>
              <w:t>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养护人员不得酒后作业或进入养护现场、高空作业、特殊工种未持证工作的</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25</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w:t>
            </w:r>
            <w:r>
              <w:rPr>
                <w:rFonts w:hint="eastAsia" w:ascii="仿宋_GB2312" w:hAnsi="仿宋_GB2312" w:eastAsia="仿宋_GB2312" w:cs="仿宋_GB2312"/>
                <w:highlight w:val="none"/>
                <w:lang w:val="en-US" w:eastAsia="zh-CN" w:bidi="ar"/>
              </w:rPr>
              <w:t>5</w:t>
            </w:r>
            <w:r>
              <w:rPr>
                <w:rFonts w:hint="eastAsia" w:ascii="仿宋_GB2312" w:hAnsi="仿宋_GB2312" w:eastAsia="仿宋_GB2312" w:cs="仿宋_GB2312"/>
                <w:highlight w:val="none"/>
                <w:lang w:eastAsia="zh-CN" w:bidi="ar"/>
              </w:rPr>
              <w:t>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私自拆除、挪用、改造园区原有设备设施，应承担设备设施更换或维修所需各项费用</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20</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w:t>
            </w:r>
            <w:r>
              <w:rPr>
                <w:rFonts w:hint="eastAsia" w:ascii="仿宋_GB2312" w:hAnsi="仿宋_GB2312" w:eastAsia="仿宋_GB2312" w:cs="仿宋_GB2312"/>
                <w:highlight w:val="none"/>
                <w:lang w:val="en-US" w:eastAsia="zh-CN" w:bidi="ar"/>
              </w:rPr>
              <w:t>5</w:t>
            </w:r>
            <w:r>
              <w:rPr>
                <w:rFonts w:hint="eastAsia" w:ascii="仿宋_GB2312" w:hAnsi="仿宋_GB2312" w:eastAsia="仿宋_GB2312" w:cs="仿宋_GB2312"/>
                <w:highlight w:val="none"/>
                <w:lang w:eastAsia="zh-CN" w:bidi="ar"/>
              </w:rPr>
              <w:t>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私自遮挡、堵塞安全出口、消防通道、消防设施</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20</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w:t>
            </w:r>
            <w:r>
              <w:rPr>
                <w:rFonts w:hint="eastAsia" w:ascii="仿宋_GB2312" w:hAnsi="仿宋_GB2312" w:eastAsia="仿宋_GB2312" w:cs="仿宋_GB2312"/>
                <w:highlight w:val="none"/>
                <w:lang w:val="en-US" w:eastAsia="zh-CN" w:bidi="ar"/>
              </w:rPr>
              <w:t>5</w:t>
            </w:r>
            <w:r>
              <w:rPr>
                <w:rFonts w:hint="eastAsia" w:ascii="仿宋_GB2312" w:hAnsi="仿宋_GB2312" w:eastAsia="仿宋_GB2312" w:cs="仿宋_GB2312"/>
                <w:highlight w:val="none"/>
                <w:lang w:eastAsia="zh-CN" w:bidi="ar"/>
              </w:rPr>
              <w:t>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养护现场安全措施不健全的或安全措施不落实的，发现后责任方必须立即整改</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20</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未按照管理要求及规定执行，1次扣5分。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7" w:type="dxa"/>
            <w:gridSpan w:val="4"/>
            <w:shd w:val="clear" w:color="auto" w:fill="auto"/>
            <w:vAlign w:val="center"/>
          </w:tcPr>
          <w:p>
            <w:pPr>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b/>
                <w:bCs/>
                <w:highlight w:val="none"/>
                <w:vertAlign w:val="baseline"/>
                <w:lang w:val="en-US" w:eastAsia="zh-CN"/>
              </w:rPr>
              <w:t>权重</w:t>
            </w:r>
          </w:p>
        </w:tc>
        <w:tc>
          <w:tcPr>
            <w:tcW w:w="1274" w:type="dxa"/>
            <w:shd w:val="clear" w:color="auto" w:fill="auto"/>
            <w:vAlign w:val="center"/>
          </w:tcPr>
          <w:p>
            <w:pPr>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b/>
                <w:bCs/>
                <w:highlight w:val="none"/>
                <w:vertAlign w:val="baseline"/>
                <w:lang w:val="en-US" w:eastAsia="zh-CN"/>
              </w:rPr>
              <w:t>4%</w:t>
            </w:r>
          </w:p>
        </w:tc>
        <w:tc>
          <w:tcPr>
            <w:tcW w:w="4771" w:type="dxa"/>
            <w:shd w:val="clear" w:color="auto" w:fill="auto"/>
            <w:vAlign w:val="top"/>
          </w:tcPr>
          <w:p>
            <w:pPr>
              <w:numPr>
                <w:ilvl w:val="0"/>
                <w:numId w:val="0"/>
              </w:numPr>
              <w:ind w:left="0" w:leftChars="0" w:firstLine="0" w:firstLineChars="0"/>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b/>
                <w:bCs/>
                <w:highlight w:val="none"/>
                <w:lang w:val="en-US" w:eastAsia="zh-CN" w:bidi="ar"/>
              </w:rPr>
              <w:t>权重分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tcPr>
          <w:p>
            <w:pPr>
              <w:rPr>
                <w:rFonts w:hint="eastAsia" w:ascii="仿宋_GB2312" w:hAnsi="仿宋_GB2312" w:eastAsia="仿宋_GB2312" w:cs="仿宋_GB2312"/>
                <w:highlight w:val="none"/>
                <w:vertAlign w:val="baseline"/>
              </w:rPr>
            </w:pPr>
          </w:p>
        </w:tc>
        <w:tc>
          <w:tcPr>
            <w:tcW w:w="1061" w:type="dxa"/>
            <w:vMerge w:val="restart"/>
          </w:tcPr>
          <w:p>
            <w:pPr>
              <w:rPr>
                <w:rFonts w:hint="eastAsia" w:ascii="仿宋_GB2312" w:hAnsi="仿宋_GB2312" w:eastAsia="仿宋_GB2312" w:cs="仿宋_GB2312"/>
                <w:highlight w:val="none"/>
                <w:vertAlign w:val="baseline"/>
              </w:rPr>
            </w:pPr>
          </w:p>
        </w:tc>
        <w:tc>
          <w:tcPr>
            <w:tcW w:w="1594" w:type="dxa"/>
            <w:vMerge w:val="restart"/>
            <w:vAlign w:val="center"/>
          </w:tcPr>
          <w:p>
            <w:pPr>
              <w:jc w:val="both"/>
              <w:rPr>
                <w:rFonts w:hint="eastAsia" w:ascii="仿宋_GB2312" w:hAnsi="仿宋_GB2312" w:eastAsia="仿宋_GB2312" w:cs="仿宋_GB2312"/>
                <w:highlight w:val="none"/>
                <w:vertAlign w:val="baseline"/>
              </w:rPr>
            </w:pPr>
            <w:r>
              <w:rPr>
                <w:rFonts w:hint="eastAsia" w:ascii="仿宋_GB2312" w:hAnsi="仿宋_GB2312" w:eastAsia="仿宋_GB2312" w:cs="仿宋_GB2312"/>
                <w:highlight w:val="none"/>
                <w:lang w:eastAsia="zh-CN" w:bidi="ar"/>
              </w:rPr>
              <w:t>文明施工管理</w:t>
            </w: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对于养护现场出现人员打架斗殴、偷盗及其他违反安全协议等违法行为</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val="en-US" w:eastAsia="zh-CN" w:bidi="ar"/>
              </w:rPr>
              <w:t>3</w:t>
            </w:r>
            <w:r>
              <w:rPr>
                <w:rFonts w:hint="eastAsia" w:ascii="仿宋_GB2312" w:hAnsi="仿宋_GB2312" w:eastAsia="仿宋_GB2312" w:cs="仿宋_GB2312"/>
                <w:highlight w:val="none"/>
                <w:lang w:eastAsia="zh-CN" w:bidi="ar"/>
              </w:rPr>
              <w:t>0</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未按照管理要求及规定执行，1次扣5分。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施作人员禁止随意使用客用电梯、卫生间等设施</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20</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未按照管理要求及规定执行，1次扣2分。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因养护过程中，造成业主方或客户物品损坏及丢失时，进行等价赔偿及承担相应法律责任</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20</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未按照管理要求及规定执行，1次扣5分。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在建筑物上乱涂乱画者、</w:t>
            </w:r>
            <w:r>
              <w:rPr>
                <w:rFonts w:hint="eastAsia" w:ascii="仿宋_GB2312" w:hAnsi="仿宋_GB2312" w:eastAsia="仿宋_GB2312" w:cs="仿宋_GB2312"/>
                <w:color w:val="000000"/>
                <w:szCs w:val="21"/>
                <w:highlight w:val="none"/>
              </w:rPr>
              <w:t>袒胸露背或穿拖鞋的情况，或</w:t>
            </w:r>
            <w:r>
              <w:rPr>
                <w:rFonts w:hint="eastAsia" w:ascii="仿宋_GB2312" w:hAnsi="仿宋_GB2312" w:eastAsia="仿宋_GB2312" w:cs="仿宋_GB2312"/>
                <w:color w:val="000000"/>
                <w:kern w:val="0"/>
                <w:szCs w:val="21"/>
                <w:highlight w:val="none"/>
              </w:rPr>
              <w:t>员工在绿地中躺卧、</w:t>
            </w:r>
            <w:r>
              <w:rPr>
                <w:rFonts w:hint="eastAsia" w:ascii="仿宋_GB2312" w:hAnsi="仿宋_GB2312" w:eastAsia="仿宋_GB2312" w:cs="仿宋_GB2312"/>
                <w:highlight w:val="none"/>
                <w:lang w:eastAsia="zh-CN" w:bidi="ar"/>
              </w:rPr>
              <w:t>在养护现场随地大小便者</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10</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w:t>
            </w:r>
            <w:r>
              <w:rPr>
                <w:rFonts w:hint="eastAsia" w:ascii="仿宋_GB2312" w:hAnsi="仿宋_GB2312" w:eastAsia="仿宋_GB2312" w:cs="仿宋_GB2312"/>
                <w:highlight w:val="none"/>
                <w:lang w:val="en-US" w:eastAsia="zh-CN" w:bidi="ar"/>
              </w:rPr>
              <w:t>5</w:t>
            </w:r>
            <w:r>
              <w:rPr>
                <w:rFonts w:hint="eastAsia" w:ascii="仿宋_GB2312" w:hAnsi="仿宋_GB2312" w:eastAsia="仿宋_GB2312" w:cs="仿宋_GB2312"/>
                <w:highlight w:val="none"/>
                <w:lang w:eastAsia="zh-CN" w:bidi="ar"/>
              </w:rPr>
              <w:t>分。</w:t>
            </w:r>
          </w:p>
        </w:tc>
        <w:tc>
          <w:tcPr>
            <w:tcW w:w="1140" w:type="dxa"/>
          </w:tcPr>
          <w:p>
            <w:pPr>
              <w:rPr>
                <w:rFonts w:hint="eastAsia" w:ascii="仿宋_GB2312" w:hAnsi="仿宋_GB2312" w:eastAsia="仿宋_GB2312" w:cs="仿宋_GB231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pPr>
              <w:rPr>
                <w:rFonts w:hint="eastAsia" w:ascii="仿宋_GB2312" w:hAnsi="仿宋_GB2312" w:eastAsia="仿宋_GB2312" w:cs="仿宋_GB2312"/>
                <w:highlight w:val="none"/>
                <w:vertAlign w:val="baseline"/>
              </w:rPr>
            </w:pPr>
          </w:p>
        </w:tc>
        <w:tc>
          <w:tcPr>
            <w:tcW w:w="1061" w:type="dxa"/>
            <w:vMerge w:val="continue"/>
          </w:tcPr>
          <w:p>
            <w:pPr>
              <w:rPr>
                <w:rFonts w:hint="eastAsia" w:ascii="仿宋_GB2312" w:hAnsi="仿宋_GB2312" w:eastAsia="仿宋_GB2312" w:cs="仿宋_GB2312"/>
                <w:highlight w:val="none"/>
                <w:vertAlign w:val="baseline"/>
              </w:rPr>
            </w:pPr>
          </w:p>
        </w:tc>
        <w:tc>
          <w:tcPr>
            <w:tcW w:w="1594" w:type="dxa"/>
            <w:vMerge w:val="continue"/>
          </w:tcPr>
          <w:p>
            <w:pPr>
              <w:rPr>
                <w:rFonts w:hint="eastAsia" w:ascii="仿宋_GB2312" w:hAnsi="仿宋_GB2312" w:eastAsia="仿宋_GB2312" w:cs="仿宋_GB2312"/>
                <w:highlight w:val="none"/>
                <w:vertAlign w:val="baseline"/>
              </w:rPr>
            </w:pPr>
          </w:p>
        </w:tc>
        <w:tc>
          <w:tcPr>
            <w:tcW w:w="3847" w:type="dxa"/>
            <w:shd w:val="clear" w:color="auto" w:fill="auto"/>
            <w:vAlign w:val="center"/>
          </w:tcPr>
          <w:p>
            <w:pPr>
              <w:jc w:val="left"/>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其他未切实执行文明施工的施工作业</w:t>
            </w:r>
          </w:p>
        </w:tc>
        <w:tc>
          <w:tcPr>
            <w:tcW w:w="1274" w:type="dxa"/>
            <w:shd w:val="clear" w:color="auto" w:fill="auto"/>
            <w:vAlign w:val="center"/>
          </w:tcPr>
          <w:p>
            <w:pPr>
              <w:jc w:val="cente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val="en-US" w:eastAsia="zh-CN" w:bidi="ar"/>
              </w:rPr>
              <w:t>2</w:t>
            </w:r>
            <w:r>
              <w:rPr>
                <w:rFonts w:hint="eastAsia" w:ascii="仿宋_GB2312" w:hAnsi="仿宋_GB2312" w:eastAsia="仿宋_GB2312" w:cs="仿宋_GB2312"/>
                <w:highlight w:val="none"/>
                <w:lang w:eastAsia="zh-CN" w:bidi="ar"/>
              </w:rPr>
              <w:t>0</w:t>
            </w:r>
          </w:p>
        </w:tc>
        <w:tc>
          <w:tcPr>
            <w:tcW w:w="4771" w:type="dxa"/>
            <w:shd w:val="clear" w:color="auto" w:fill="auto"/>
            <w:vAlign w:val="center"/>
          </w:tcPr>
          <w:p>
            <w:pPr>
              <w:textAlignment w:val="center"/>
              <w:rPr>
                <w:rFonts w:hint="eastAsia" w:ascii="仿宋_GB2312" w:hAnsi="仿宋_GB2312" w:eastAsia="仿宋_GB2312" w:cs="仿宋_GB2312"/>
                <w:kern w:val="2"/>
                <w:sz w:val="21"/>
                <w:szCs w:val="24"/>
                <w:highlight w:val="none"/>
                <w:lang w:val="en-US" w:eastAsia="zh-CN" w:bidi="ar-SA"/>
              </w:rPr>
            </w:pPr>
            <w:r>
              <w:rPr>
                <w:rFonts w:hint="eastAsia" w:ascii="仿宋_GB2312" w:hAnsi="仿宋_GB2312" w:eastAsia="仿宋_GB2312" w:cs="仿宋_GB2312"/>
                <w:highlight w:val="none"/>
                <w:lang w:eastAsia="zh-CN" w:bidi="ar"/>
              </w:rPr>
              <w:t>未按照管理要求及规定执行，1次扣</w:t>
            </w:r>
            <w:r>
              <w:rPr>
                <w:rFonts w:hint="eastAsia" w:ascii="仿宋_GB2312" w:hAnsi="仿宋_GB2312" w:eastAsia="仿宋_GB2312" w:cs="仿宋_GB2312"/>
                <w:highlight w:val="none"/>
                <w:lang w:val="en-US" w:eastAsia="zh-CN" w:bidi="ar"/>
              </w:rPr>
              <w:t>5</w:t>
            </w:r>
            <w:r>
              <w:rPr>
                <w:rFonts w:hint="eastAsia" w:ascii="仿宋_GB2312" w:hAnsi="仿宋_GB2312" w:eastAsia="仿宋_GB2312" w:cs="仿宋_GB2312"/>
                <w:highlight w:val="none"/>
                <w:lang w:eastAsia="zh-CN" w:bidi="ar"/>
              </w:rPr>
              <w:t>分。</w:t>
            </w:r>
          </w:p>
        </w:tc>
        <w:tc>
          <w:tcPr>
            <w:tcW w:w="1140" w:type="dxa"/>
            <w:shd w:val="clear" w:color="auto" w:fill="auto"/>
            <w:vAlign w:val="top"/>
          </w:tcPr>
          <w:p>
            <w:pPr>
              <w:rPr>
                <w:rFonts w:hint="eastAsia" w:ascii="仿宋_GB2312" w:hAnsi="仿宋_GB2312" w:eastAsia="仿宋_GB2312" w:cs="仿宋_GB2312"/>
                <w:kern w:val="2"/>
                <w:sz w:val="21"/>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7" w:type="dxa"/>
            <w:gridSpan w:val="4"/>
            <w:shd w:val="clear" w:color="auto" w:fill="auto"/>
            <w:vAlign w:val="center"/>
          </w:tcPr>
          <w:p>
            <w:pPr>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b/>
                <w:bCs/>
                <w:highlight w:val="none"/>
                <w:vertAlign w:val="baseline"/>
                <w:lang w:val="en-US" w:eastAsia="zh-CN"/>
              </w:rPr>
              <w:t>权重</w:t>
            </w:r>
          </w:p>
        </w:tc>
        <w:tc>
          <w:tcPr>
            <w:tcW w:w="1274" w:type="dxa"/>
            <w:shd w:val="clear" w:color="auto" w:fill="auto"/>
            <w:vAlign w:val="center"/>
          </w:tcPr>
          <w:p>
            <w:pPr>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b/>
                <w:bCs/>
                <w:highlight w:val="none"/>
                <w:vertAlign w:val="baseline"/>
                <w:lang w:val="en-US" w:eastAsia="zh-CN"/>
              </w:rPr>
              <w:t>3%</w:t>
            </w:r>
          </w:p>
        </w:tc>
        <w:tc>
          <w:tcPr>
            <w:tcW w:w="4771" w:type="dxa"/>
            <w:shd w:val="clear" w:color="auto" w:fill="auto"/>
            <w:vAlign w:val="top"/>
          </w:tcPr>
          <w:p>
            <w:pPr>
              <w:numPr>
                <w:ilvl w:val="0"/>
                <w:numId w:val="0"/>
              </w:numPr>
              <w:ind w:left="0" w:leftChars="0" w:firstLine="0" w:firstLineChars="0"/>
              <w:jc w:val="cente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b/>
                <w:bCs/>
                <w:highlight w:val="none"/>
                <w:lang w:val="en-US" w:eastAsia="zh-CN" w:bidi="ar"/>
              </w:rPr>
              <w:t>权重分</w:t>
            </w:r>
          </w:p>
        </w:tc>
        <w:tc>
          <w:tcPr>
            <w:tcW w:w="1140" w:type="dxa"/>
          </w:tcPr>
          <w:p>
            <w:pPr>
              <w:rPr>
                <w:rFonts w:hint="eastAsia" w:ascii="仿宋_GB2312" w:hAnsi="仿宋_GB2312" w:eastAsia="仿宋_GB2312" w:cs="仿宋_GB2312"/>
                <w:highlight w:val="none"/>
                <w:vertAlign w:val="baseline"/>
              </w:rPr>
            </w:pPr>
          </w:p>
        </w:tc>
      </w:tr>
    </w:tbl>
    <w:p>
      <w:pPr>
        <w:pStyle w:val="40"/>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sz w:val="24"/>
          <w:szCs w:val="24"/>
          <w:highlight w:val="none"/>
          <w:shd w:val="clear" w:color="auto" w:fill="auto"/>
        </w:rPr>
      </w:pPr>
      <w:r>
        <w:rPr>
          <w:rFonts w:hint="eastAsia" w:ascii="Times New Roman" w:hAnsi="Times New Roman" w:eastAsia="宋体" w:cs="Times New Roman"/>
          <w:sz w:val="24"/>
          <w:szCs w:val="24"/>
          <w:highlight w:val="none"/>
          <w:shd w:val="clear" w:color="auto" w:fill="auto"/>
        </w:rPr>
        <w:t>总分100分，1.乔灌木、绿篱权重占比25%；2.草坪权重占比20%；3.花卉、色带权重占比15%；4.竹类权重占比15%；5.水生植物权重占比15%；6；养护公司权重占比10%，（其中管理占3%，安全及质量管理占4%，文明施工占3%）</w:t>
      </w:r>
    </w:p>
    <w:p>
      <w:pPr>
        <w:pStyle w:val="4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eastAsia="宋体" w:cs="Times New Roman"/>
          <w:b w:val="0"/>
          <w:bCs w:val="0"/>
          <w:i w:val="0"/>
          <w:iCs w:val="0"/>
          <w:sz w:val="24"/>
          <w:szCs w:val="24"/>
          <w:highlight w:val="none"/>
          <w:shd w:val="clear" w:color="auto" w:fill="auto"/>
          <w:lang w:val="en-US" w:eastAsia="zh-CN"/>
        </w:rPr>
        <w:sectPr>
          <w:pgSz w:w="16838" w:h="11906" w:orient="landscape"/>
          <w:pgMar w:top="1800" w:right="1440" w:bottom="1800" w:left="1440" w:header="851" w:footer="992" w:gutter="0"/>
          <w:cols w:space="425" w:num="1"/>
          <w:docGrid w:type="lines" w:linePitch="312" w:charSpace="0"/>
        </w:sectPr>
      </w:pPr>
    </w:p>
    <w:tbl>
      <w:tblPr>
        <w:tblStyle w:val="38"/>
        <w:tblW w:w="851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90"/>
        <w:gridCol w:w="1360"/>
        <w:gridCol w:w="1280"/>
        <w:gridCol w:w="1110"/>
        <w:gridCol w:w="840"/>
        <w:gridCol w:w="710"/>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18" w:type="dxa"/>
            <w:gridSpan w:val="8"/>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highlight w:val="none"/>
                <w:u w:val="none"/>
                <w:lang w:eastAsia="zh-CN"/>
              </w:rPr>
            </w:pPr>
            <w:r>
              <w:rPr>
                <w:rFonts w:hint="eastAsia" w:ascii="宋体" w:hAnsi="宋体" w:eastAsia="宋体" w:cs="宋体"/>
                <w:b/>
                <w:bCs/>
                <w:i w:val="0"/>
                <w:iCs w:val="0"/>
                <w:color w:val="000000"/>
                <w:sz w:val="32"/>
                <w:szCs w:val="32"/>
                <w:highlight w:val="none"/>
                <w:u w:val="none"/>
                <w:lang w:eastAsia="zh-CN"/>
              </w:rPr>
              <w:t>苗木清单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序号</w:t>
            </w:r>
          </w:p>
        </w:tc>
        <w:tc>
          <w:tcPr>
            <w:tcW w:w="159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苗木名称</w:t>
            </w:r>
          </w:p>
        </w:tc>
        <w:tc>
          <w:tcPr>
            <w:tcW w:w="13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胸径（地径）</w:t>
            </w:r>
          </w:p>
        </w:tc>
        <w:tc>
          <w:tcPr>
            <w:tcW w:w="128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高度</w:t>
            </w:r>
          </w:p>
        </w:tc>
        <w:tc>
          <w:tcPr>
            <w:tcW w:w="111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冠幅</w:t>
            </w:r>
          </w:p>
        </w:tc>
        <w:tc>
          <w:tcPr>
            <w:tcW w:w="84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种植密度</w:t>
            </w:r>
          </w:p>
        </w:tc>
        <w:tc>
          <w:tcPr>
            <w:tcW w:w="71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单位</w:t>
            </w:r>
          </w:p>
        </w:tc>
        <w:tc>
          <w:tcPr>
            <w:tcW w:w="97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侧柏A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侧柏B</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青杄A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3-4m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青杄B</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2-2.5m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油松T1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D18-20cm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10-12m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油松T2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D18-20cm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9-10m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油松A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7-8m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油松B</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D12-14cm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造型油松</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3-3.5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2-2.5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圆柏A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圆柏B</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桧柏</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云杉A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云杉B</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华山松</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2.5-3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白皮松</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2.5-3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白皮松</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3.5-4m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白皮松</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5-6m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白皮松A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6-7m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白皮松B</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白皮松T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9-10m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白蜡</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D12-14cm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刺槐A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刺槐B</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D13-15cm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丛生茶条槭</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地径每分支＞7cm，分支＞3-4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丛生茶条槭T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分支径＞7cm，主分支3-4枝</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9-10m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6-7m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丛生蒙古栎T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分支径＞8cm，分支＞7，主分支3-4枝</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8-10m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7-8m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丛生蒙古栎A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分支径＞8cm，分支＞7，主分支3-5枝</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6-7m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丛生元宝枫</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分支径＞8cm，3-4分支</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6-7m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6-7m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丛生元宝枫T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分支径＞8cm，8-10分支</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8-9m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7-8m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丽红元宝枫</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D12-14cm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杜仲A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杜仲B</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D13-15cm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白玉兰T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白玉兰</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D20-22cm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二乔玉兰T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D8-10cm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2.5-3m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二乔玉兰T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法桐A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法桐B</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D13-15cm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旱柳</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栾树A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栾树B</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D13-15cm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蒙古栎A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6-7m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蒙古栎B</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D13-15cm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榆树</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6-7m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柿树</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D12-14cm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8-9m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丝棉木A</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4.5-5m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4.5m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丝棉木B</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D12-14cm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4-4.5m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丝棉木T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D18-20cm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5-5.5m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绦柳A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7-8m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绦柳B</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D13-15cm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绦柳T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D22-24cm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7-8m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6-7m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银红槭T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D18-20cm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银红槭</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D13-15cm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银白槭</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D13-15cm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银杏A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银杏T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D25-30cm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元宝枫A</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6-7m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6-7m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59</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元宝枫B</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小叶白蜡</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国槐A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国槐B</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D13-15cm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国槐T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D20-22cm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千头椿</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金叶复叶槭</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D8-10cm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2.5-3m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泡桐</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D13-15cm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北美海棠</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D13-15cm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梓树</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D10-12cm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梓树</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D13-15cm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梓树T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D20-22cm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8-10m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杂交马褂木</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8-10m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稠李</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海棠“丰盛：A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4-4.5m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海棠“丰盛：B</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12-14cm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3.5-4m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3.5-4m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四照花</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流苏</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D5-7cm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白花山碧桃A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d10-12cm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白花山碧桃B</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d8-10cm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白花山碧桃T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d10-12cm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海棠珊瑚A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4-4.5m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北美海棠"雪坠"</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d12-14cm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3.5-4m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3.5-4m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八棱海棠T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4-4.5m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4-4.5m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八棱海棠T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d18-20cm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梨花海棠T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d20-22cm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4-4.5m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黄栌A</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d8-10cm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3-3.5m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3-3.5m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黄栌B</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d5-7cm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山桃A</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d8-10cm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2-2.5m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山桃A</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d12-14cm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3.5-4m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3.5-4m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89</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山桃B</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d9-11cm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3-3.5m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山桃T</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D20-22cm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4-4.5m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山杏A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d12-14cm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3.5-4m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3.5-4m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山杏B</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d9-11cm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山楂T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3.5-4m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花椒</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d15-17cm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3.5-4m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紫薇</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d12-14cm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石榴</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文冠果A</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d12-14cm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3.5-4m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3-3.5m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文冠果B</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d8-10cm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3-3.5m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矮紫杉</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1-1.2m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丛生黄栌T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主分支径＞7cm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丛生黄栌</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主分支径＞7cm</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3-3.5m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3-3.5m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大花醉鱼草</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1.2-1.5m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1.8-2.2m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风箱果</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1.8-2m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2-2.5m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海仙花</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1.2-1.5m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1.2-1.5m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接骨木</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金银木A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主分支径＞cm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金银木</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主分支径＞cm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荆条</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腊梅素心</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2-2.5m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木槿</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2-2.5m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山茱萸A</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山茱萸B</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山茱萸T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3.5-4m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4-4.5m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水栒子</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天目琼花</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新疆忍冬</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珍珠梅</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0.8-1m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0.8m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醉鱼草</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1.2-1.5m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1.8-2.2m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紫丁香</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猥实</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2-2.5m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黄刺玫</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大花溲疏</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金叶接骨木</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胡枝子</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榆叶梅</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2-2.5m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西府海棠</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西府海棠T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3.5-4m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西府海棠T</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D20-23cm</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7-8m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7-8m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红瑞木球</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Style w:val="41"/>
                <w:highlight w:val="none"/>
                <w:lang w:val="en-US" w:eastAsia="zh-CN"/>
              </w:rPr>
              <w:t>0.8m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贴梗海棠</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0.8-1.2m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0.8-1.2m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鸡麻</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1-1.5m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报春刺玫</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欧洲荚蒾雪球</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太平花</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龙柏</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1.2-1.5m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2.5-3m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铁树</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早园竹</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3197.2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八仙花“绵延夏日”</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0.8-1m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1-1.2m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粉花绣线菊</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0.4-0.5m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0.3m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红瑞木“教主”</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0.6-0.8m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0.8m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连翘</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0.8-1m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1-1.2m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胡枝子</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1-1.2m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红王子锦带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1-1.2m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木本香薷</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0.6-0.8m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0.8m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平枝荀子</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0.8-1m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0.8-1m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137.8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铺地柏</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0.4-0.6m</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553.8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迎春</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0.8-1m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0.8m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692.6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珍珠梅</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0.8-1m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0.8m</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488.4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胶东卫矛</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0.5-0.8m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 xml:space="preserve">49株/m2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229.4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大叶黄杨</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1-1.2m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 xml:space="preserve">25株/m2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683.4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桧柏Ｂ</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3-4m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 xml:space="preserve">2株/m2 </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棣棠</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1-1.2m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rPr>
              <w:t>209.7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青苔绿草</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49株/m2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14893.8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八宝景天"秋欢"</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36株/m2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超级鼠尾草"卡拉多纳"</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49株/m2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大滨菊</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36株/m2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二月兰（播种）</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5381.4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缀花草坪</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159</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粉黛乱子草</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花叶芦竹</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假龙头</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49株/m2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金光菊</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金叶过路黄</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36株/m2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荆芥蓝色忧伤</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16盆/m2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卡尔拂子茅</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9盆/m2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蓝花鼠尾草</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49株/m2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狼尾草小兔子</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9盆/m2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狼尾草紫光</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6盆/m2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169</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林荫鼠尾草"蓝山"</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49株/m2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170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柳叶马鞭草</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49株/m2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171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落新妇白</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172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落新妇淡粉</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173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马蔺</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36株/m2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4053.3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174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千屈菜</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175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山桃草</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36株/m2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176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蓍草 白</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36株/m2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177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穗花婆婆纳</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36株/m2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178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天蓝鼠尾草</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36株/m2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179</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细叶芒</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6盆/m2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玉簪</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狭叶玉簪 金标</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紫萼</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36株/m2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紫菀 秋之喜悦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荚果蕨</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细叶针茅</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绵毛水苏</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麦冬</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81株/m2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早熟禾+黑麦（草坪）</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14482.3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189</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美丽月见草</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190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牡丹</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191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常夏石竹</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64株/m2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192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鸢尾</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36株/m2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193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重金属 柳枝稷</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194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多花蔷薇</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195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藤本月季</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5丛/m</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196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三叶地锦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197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紫藤</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1株/m</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198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凌霄</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1株/m</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199</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五叶地锦</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株</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小叶扶芳藤</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石竹香雪球混播</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81株/m2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202</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柳叶白菀</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 xml:space="preserve"> 36株/m2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203</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五彩石竹</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100株/m2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欧石竹</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100株/m2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花蔺</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206</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雨久花</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36株/m2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水葱</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6-8丛/m2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香蒲</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50株/m2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209</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荇菜</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210</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荷花</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盆栽</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盆</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211</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睡莲</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212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荇菜千屈菜+菖蒲+鸢尾+莸</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36株/m2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m²</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180.1</w:t>
            </w:r>
          </w:p>
        </w:tc>
      </w:tr>
    </w:tbl>
    <w:p>
      <w:pPr>
        <w:pStyle w:val="36"/>
        <w:rPr>
          <w:highlight w:val="none"/>
          <w:lang w:val="en-US" w:eastAsia="zh-CN"/>
        </w:rPr>
      </w:pPr>
    </w:p>
    <w:p>
      <w:pPr>
        <w:pStyle w:val="36"/>
        <w:rPr>
          <w:highlight w:val="none"/>
          <w:lang w:val="en-US" w:eastAsia="zh-CN"/>
        </w:rPr>
      </w:pPr>
    </w:p>
    <w:p>
      <w:pPr>
        <w:pStyle w:val="36"/>
        <w:rPr>
          <w:highlight w:val="none"/>
          <w:lang w:val="en-US" w:eastAsia="zh-CN"/>
        </w:rPr>
      </w:pPr>
    </w:p>
    <w:p>
      <w:pPr>
        <w:pStyle w:val="36"/>
        <w:rPr>
          <w:highlight w:val="none"/>
          <w:lang w:val="en-US" w:eastAsia="zh-CN"/>
        </w:rPr>
      </w:pPr>
    </w:p>
    <w:p>
      <w:pPr>
        <w:pStyle w:val="36"/>
        <w:rPr>
          <w:highlight w:val="none"/>
          <w:lang w:val="en-US" w:eastAsia="zh-CN"/>
        </w:rPr>
      </w:pPr>
    </w:p>
    <w:tbl>
      <w:tblPr>
        <w:tblStyle w:val="38"/>
        <w:tblW w:w="78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8"/>
        <w:gridCol w:w="1695"/>
        <w:gridCol w:w="1560"/>
        <w:gridCol w:w="1050"/>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808" w:type="dxa"/>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highlight w:val="none"/>
                <w:u w:val="none"/>
              </w:rPr>
            </w:pPr>
            <w:r>
              <w:rPr>
                <w:rFonts w:hint="eastAsia" w:ascii="宋体" w:hAnsi="宋体" w:eastAsia="宋体" w:cs="宋体"/>
                <w:b/>
                <w:bCs/>
                <w:i w:val="0"/>
                <w:iCs w:val="0"/>
                <w:color w:val="000000"/>
                <w:kern w:val="0"/>
                <w:sz w:val="32"/>
                <w:szCs w:val="32"/>
                <w:highlight w:val="none"/>
                <w:u w:val="none"/>
                <w:lang w:val="en-US" w:eastAsia="zh-CN"/>
              </w:rPr>
              <w:t>设备设施清单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设备名称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规格型号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单位</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PE给水管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PE管 De25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PE给水管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PE管 De32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6138.64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PE给水管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PE管 De50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1435.56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PE给水管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PE管 De63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1957.56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PE给水管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PE管 De90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648.78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PE给水管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PE管 De110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1949.41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PE给水管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PE管 De160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快速取水阀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De25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地埋式喷头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旋转喷头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地埋式喷头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散射喷头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地埋式喷头</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旋转射线型散射喷头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滴灌管</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壁厚1.0mm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电磁阀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De50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电磁阀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De63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手动泄水阀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DN32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手动泄水阀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DN50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检修球阀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DN63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进排气阀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DN32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进排气阀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DN63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闸阀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DN160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闸阀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DN110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闸阀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DN90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球阀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DN50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球阀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DN32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止回阀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DN50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止回阀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DN100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自动反冲洗网式过滤器</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 xml:space="preserve">DN100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自动反冲洗网式过滤器</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 xml:space="preserve">DN50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干电池控制器</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中控解码器</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解码器</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1站型，直流9V</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雨水传感器</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土壤传感器</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远程遥控器接收器</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远程遥控器发射器</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智能气象站</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个</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直埋解码器双绞线</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m</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进排气阀井</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座</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39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电磁阀井</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座</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主管逆止阀井</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座</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主管检修阀井</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座</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42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水源井</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座</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rPr>
              <w:t>5</w:t>
            </w:r>
          </w:p>
        </w:tc>
      </w:tr>
    </w:tbl>
    <w:p>
      <w:pPr>
        <w:pStyle w:val="36"/>
        <w:rPr>
          <w:highlight w:val="none"/>
          <w:lang w:val="en-US" w:eastAsia="zh-CN"/>
        </w:rPr>
      </w:pPr>
    </w:p>
    <w:p>
      <w:pPr>
        <w:pStyle w:val="36"/>
        <w:rPr>
          <w:rFonts w:ascii="Times New Roman" w:hAnsi="Times New Roman" w:eastAsia="宋体" w:cs="Times New Roman"/>
          <w:b/>
          <w:bCs/>
          <w:i w:val="0"/>
          <w:iCs w:val="0"/>
          <w:sz w:val="24"/>
          <w:szCs w:val="24"/>
          <w:highlight w:val="none"/>
          <w:shd w:val="clear" w:color="auto" w:fill="auto"/>
          <w:lang w:val="en-US" w:eastAsia="zh-CN"/>
        </w:rPr>
      </w:pPr>
    </w:p>
    <w:p>
      <w:pPr>
        <w:pStyle w:val="39"/>
        <w:keepNext w:val="0"/>
        <w:keepLines w:val="0"/>
        <w:pageBreakBefore w:val="0"/>
        <w:widowControl w:val="0"/>
        <w:tabs>
          <w:tab w:val="left" w:pos="705"/>
        </w:tabs>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 w:val="0"/>
          <w:bCs w:val="0"/>
          <w:i/>
          <w:iCs/>
          <w:sz w:val="24"/>
          <w:szCs w:val="24"/>
          <w:shd w:val="clear" w:color="FFFFFF" w:fill="D9D9D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___WRD_EMBED_SUB_40">
    <w:altName w:val="仿宋_GB2312"/>
    <w:panose1 w:val="02010609030101010101"/>
    <w:charset w:val="86"/>
    <w:family w:val="modern"/>
    <w:pitch w:val="default"/>
    <w:sig w:usb0="00000000" w:usb1="00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B1213"/>
    <w:multiLevelType w:val="singleLevel"/>
    <w:tmpl w:val="EEDB1213"/>
    <w:lvl w:ilvl="0" w:tentative="0">
      <w:start w:val="1"/>
      <w:numFmt w:val="chineseCounting"/>
      <w:suff w:val="nothing"/>
      <w:lvlText w:val="（%1）"/>
      <w:lvlJc w:val="left"/>
      <w:rPr>
        <w:rFonts w:hint="eastAsia"/>
      </w:rPr>
    </w:lvl>
  </w:abstractNum>
  <w:abstractNum w:abstractNumId="1">
    <w:nsid w:val="F5E6AA65"/>
    <w:multiLevelType w:val="singleLevel"/>
    <w:tmpl w:val="F5E6AA65"/>
    <w:lvl w:ilvl="0" w:tentative="0">
      <w:start w:val="1"/>
      <w:numFmt w:val="decimal"/>
      <w:lvlText w:val="%1."/>
      <w:lvlJc w:val="left"/>
      <w:pPr>
        <w:tabs>
          <w:tab w:val="left" w:pos="312"/>
        </w:tabs>
      </w:pPr>
    </w:lvl>
  </w:abstractNum>
  <w:abstractNum w:abstractNumId="2">
    <w:nsid w:val="132EA23F"/>
    <w:multiLevelType w:val="singleLevel"/>
    <w:tmpl w:val="132EA23F"/>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MDZiNDNhZTJmZWEyMDM5NmUyZDdmYTc2ODliNzkifQ=="/>
  </w:docVars>
  <w:rsids>
    <w:rsidRoot w:val="00312ECB"/>
    <w:rsid w:val="001219B8"/>
    <w:rsid w:val="00312ECB"/>
    <w:rsid w:val="004A5E88"/>
    <w:rsid w:val="006B0326"/>
    <w:rsid w:val="00817FFD"/>
    <w:rsid w:val="00AD3ACA"/>
    <w:rsid w:val="00AE769F"/>
    <w:rsid w:val="02F6795E"/>
    <w:rsid w:val="03566183"/>
    <w:rsid w:val="06F04422"/>
    <w:rsid w:val="0B247A7E"/>
    <w:rsid w:val="0FDC49CD"/>
    <w:rsid w:val="15251905"/>
    <w:rsid w:val="16D2144F"/>
    <w:rsid w:val="196B5EF8"/>
    <w:rsid w:val="20D802B3"/>
    <w:rsid w:val="210611FD"/>
    <w:rsid w:val="24642443"/>
    <w:rsid w:val="2685028B"/>
    <w:rsid w:val="289947F7"/>
    <w:rsid w:val="2DFBF246"/>
    <w:rsid w:val="337D965B"/>
    <w:rsid w:val="37BDD076"/>
    <w:rsid w:val="3FBF8D3A"/>
    <w:rsid w:val="4BDF842D"/>
    <w:rsid w:val="4EAC99D6"/>
    <w:rsid w:val="51695F30"/>
    <w:rsid w:val="608510F9"/>
    <w:rsid w:val="6FBE8CCE"/>
    <w:rsid w:val="6FE8FC78"/>
    <w:rsid w:val="716E04C7"/>
    <w:rsid w:val="71CF49C6"/>
    <w:rsid w:val="735FAC90"/>
    <w:rsid w:val="753E9D7F"/>
    <w:rsid w:val="77AEA932"/>
    <w:rsid w:val="77CA6F71"/>
    <w:rsid w:val="77DB85F2"/>
    <w:rsid w:val="7DFF4160"/>
    <w:rsid w:val="7EF78C59"/>
    <w:rsid w:val="7EFF854F"/>
    <w:rsid w:val="7F3FE168"/>
    <w:rsid w:val="7FBA3767"/>
    <w:rsid w:val="7FDF1956"/>
    <w:rsid w:val="7FFFFF7C"/>
    <w:rsid w:val="9FF7A049"/>
    <w:rsid w:val="AAEE9FCB"/>
    <w:rsid w:val="BDB3F985"/>
    <w:rsid w:val="BFF58B6D"/>
    <w:rsid w:val="DBDB7535"/>
    <w:rsid w:val="EB772DE7"/>
    <w:rsid w:val="F6D54D8B"/>
    <w:rsid w:val="F79B477E"/>
    <w:rsid w:val="FF77C74C"/>
    <w:rsid w:val="FFFBC7EF"/>
    <w:rsid w:val="FFFBF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Calibri" w:hAnsi="Calibri" w:eastAsia="宋体" w:cs="Times New Roman"/>
      <w:sz w:val="18"/>
      <w:szCs w:val="18"/>
    </w:rPr>
  </w:style>
  <w:style w:type="character" w:customStyle="1" w:styleId="9">
    <w:name w:val="页脚 字符"/>
    <w:basedOn w:val="7"/>
    <w:link w:val="3"/>
    <w:qFormat/>
    <w:uiPriority w:val="99"/>
    <w:rPr>
      <w:rFonts w:ascii="Calibri" w:hAnsi="Calibri" w:eastAsia="宋体" w:cs="Times New Roman"/>
      <w:sz w:val="18"/>
      <w:szCs w:val="18"/>
    </w:rPr>
  </w:style>
  <w:style w:type="paragraph" w:customStyle="1" w:styleId="10">
    <w:name w:val="Normal049acf23"/>
    <w:qFormat/>
    <w:uiPriority w:val="0"/>
    <w:pPr>
      <w:widowControl w:val="0"/>
      <w:jc w:val="both"/>
    </w:pPr>
    <w:rPr>
      <w:rFonts w:asciiTheme="minorHAnsi" w:hAnsiTheme="minorHAnsi" w:eastAsiaTheme="minorEastAsia" w:cstheme="minorBidi"/>
      <w:sz w:val="21"/>
      <w:szCs w:val="22"/>
    </w:rPr>
  </w:style>
  <w:style w:type="character" w:customStyle="1" w:styleId="11">
    <w:name w:val="Default Paragraph Fontc6786b0a"/>
    <w:semiHidden/>
    <w:qFormat/>
    <w:uiPriority w:val="0"/>
  </w:style>
  <w:style w:type="table" w:customStyle="1" w:styleId="12">
    <w:name w:val="Normal Table94661961"/>
    <w:semiHidden/>
    <w:qFormat/>
    <w:uiPriority w:val="0"/>
    <w:tblPr>
      <w:tblCellMar>
        <w:top w:w="0" w:type="dxa"/>
        <w:left w:w="108" w:type="dxa"/>
        <w:bottom w:w="0" w:type="dxa"/>
        <w:right w:w="108" w:type="dxa"/>
      </w:tblCellMar>
    </w:tblPr>
  </w:style>
  <w:style w:type="paragraph" w:customStyle="1" w:styleId="13">
    <w:name w:val="Normalb92eefe9"/>
    <w:qFormat/>
    <w:uiPriority w:val="0"/>
    <w:pPr>
      <w:widowControl w:val="0"/>
      <w:jc w:val="both"/>
    </w:pPr>
    <w:rPr>
      <w:rFonts w:asciiTheme="minorHAnsi" w:hAnsiTheme="minorHAnsi" w:eastAsiaTheme="minorEastAsia" w:cstheme="minorBidi"/>
      <w:sz w:val="21"/>
      <w:szCs w:val="22"/>
    </w:rPr>
  </w:style>
  <w:style w:type="character" w:customStyle="1" w:styleId="14">
    <w:name w:val="Default Paragraph Fontcd0b44e8"/>
    <w:semiHidden/>
    <w:qFormat/>
    <w:uiPriority w:val="0"/>
  </w:style>
  <w:style w:type="table" w:customStyle="1" w:styleId="15">
    <w:name w:val="Normal Table9bb51b90"/>
    <w:semiHidden/>
    <w:qFormat/>
    <w:uiPriority w:val="0"/>
    <w:tblPr>
      <w:tblCellMar>
        <w:top w:w="0" w:type="dxa"/>
        <w:left w:w="108" w:type="dxa"/>
        <w:bottom w:w="0" w:type="dxa"/>
        <w:right w:w="108" w:type="dxa"/>
      </w:tblCellMar>
    </w:tblPr>
  </w:style>
  <w:style w:type="paragraph" w:customStyle="1" w:styleId="16">
    <w:name w:val="Normal5c39036f"/>
    <w:qFormat/>
    <w:uiPriority w:val="0"/>
    <w:pPr>
      <w:widowControl w:val="0"/>
      <w:jc w:val="both"/>
    </w:pPr>
    <w:rPr>
      <w:rFonts w:asciiTheme="minorHAnsi" w:hAnsiTheme="minorHAnsi" w:eastAsiaTheme="minorEastAsia" w:cstheme="minorBidi"/>
      <w:sz w:val="21"/>
      <w:szCs w:val="22"/>
    </w:rPr>
  </w:style>
  <w:style w:type="character" w:customStyle="1" w:styleId="17">
    <w:name w:val="Default Paragraph Font025d96be"/>
    <w:semiHidden/>
    <w:qFormat/>
    <w:uiPriority w:val="0"/>
  </w:style>
  <w:style w:type="table" w:customStyle="1" w:styleId="18">
    <w:name w:val="Normal Table4cf1425b"/>
    <w:semiHidden/>
    <w:qFormat/>
    <w:uiPriority w:val="0"/>
    <w:tblPr>
      <w:tblCellMar>
        <w:top w:w="0" w:type="dxa"/>
        <w:left w:w="108" w:type="dxa"/>
        <w:bottom w:w="0" w:type="dxa"/>
        <w:right w:w="108" w:type="dxa"/>
      </w:tblCellMar>
    </w:tblPr>
  </w:style>
  <w:style w:type="paragraph" w:customStyle="1" w:styleId="19">
    <w:name w:val="Normal72fe9942"/>
    <w:qFormat/>
    <w:uiPriority w:val="0"/>
    <w:pPr>
      <w:widowControl w:val="0"/>
      <w:jc w:val="both"/>
    </w:pPr>
    <w:rPr>
      <w:rFonts w:asciiTheme="minorHAnsi" w:hAnsiTheme="minorHAnsi" w:eastAsiaTheme="minorEastAsia" w:cstheme="minorBidi"/>
      <w:sz w:val="21"/>
      <w:szCs w:val="22"/>
    </w:rPr>
  </w:style>
  <w:style w:type="character" w:customStyle="1" w:styleId="20">
    <w:name w:val="Default Paragraph Font9758ecaf"/>
    <w:semiHidden/>
    <w:qFormat/>
    <w:uiPriority w:val="0"/>
  </w:style>
  <w:style w:type="table" w:customStyle="1" w:styleId="21">
    <w:name w:val="Normal Table6a0354d4"/>
    <w:semiHidden/>
    <w:qFormat/>
    <w:uiPriority w:val="0"/>
    <w:tblPr>
      <w:tblCellMar>
        <w:top w:w="0" w:type="dxa"/>
        <w:left w:w="108" w:type="dxa"/>
        <w:bottom w:w="0" w:type="dxa"/>
        <w:right w:w="108" w:type="dxa"/>
      </w:tblCellMar>
    </w:tblPr>
  </w:style>
  <w:style w:type="paragraph" w:customStyle="1" w:styleId="22">
    <w:name w:val="Normal077eb933"/>
    <w:qFormat/>
    <w:uiPriority w:val="0"/>
    <w:pPr>
      <w:widowControl w:val="0"/>
      <w:jc w:val="both"/>
    </w:pPr>
    <w:rPr>
      <w:rFonts w:asciiTheme="minorHAnsi" w:hAnsiTheme="minorHAnsi" w:eastAsiaTheme="minorEastAsia" w:cstheme="minorBidi"/>
      <w:sz w:val="21"/>
      <w:szCs w:val="22"/>
    </w:rPr>
  </w:style>
  <w:style w:type="character" w:customStyle="1" w:styleId="23">
    <w:name w:val="Default Paragraph Fonta8ec173d"/>
    <w:semiHidden/>
    <w:qFormat/>
    <w:uiPriority w:val="0"/>
  </w:style>
  <w:style w:type="table" w:customStyle="1" w:styleId="24">
    <w:name w:val="Normal Tablec9ee7ff1"/>
    <w:semiHidden/>
    <w:qFormat/>
    <w:uiPriority w:val="0"/>
    <w:tblPr>
      <w:tblCellMar>
        <w:top w:w="0" w:type="dxa"/>
        <w:left w:w="108" w:type="dxa"/>
        <w:bottom w:w="0" w:type="dxa"/>
        <w:right w:w="108" w:type="dxa"/>
      </w:tblCellMar>
    </w:tblPr>
  </w:style>
  <w:style w:type="paragraph" w:customStyle="1" w:styleId="25">
    <w:name w:val="List 25620cc6b"/>
    <w:basedOn w:val="22"/>
    <w:qFormat/>
    <w:uiPriority w:val="0"/>
    <w:pPr>
      <w:ind w:left="400" w:leftChars="200" w:hanging="200" w:hangingChars="200"/>
      <w:contextualSpacing/>
    </w:pPr>
  </w:style>
  <w:style w:type="paragraph" w:customStyle="1" w:styleId="26">
    <w:name w:val="Normalee29f8d9a5ae6f6e"/>
    <w:qFormat/>
    <w:uiPriority w:val="0"/>
    <w:pPr>
      <w:widowControl w:val="0"/>
      <w:jc w:val="both"/>
    </w:pPr>
    <w:rPr>
      <w:rFonts w:ascii="等线" w:hAnsi="等线" w:eastAsia="等线" w:cs="Arial"/>
      <w:sz w:val="21"/>
      <w:szCs w:val="22"/>
      <w:lang w:val="en-US" w:eastAsia="zh-CN" w:bidi="ar-SA"/>
    </w:rPr>
  </w:style>
  <w:style w:type="paragraph" w:customStyle="1" w:styleId="27">
    <w:name w:val="Normal93ed08b5"/>
    <w:qFormat/>
    <w:uiPriority w:val="0"/>
    <w:pPr>
      <w:widowControl w:val="0"/>
      <w:jc w:val="both"/>
    </w:pPr>
    <w:rPr>
      <w:rFonts w:asciiTheme="minorHAnsi" w:hAnsiTheme="minorHAnsi" w:eastAsiaTheme="minorEastAsia" w:cstheme="minorBidi"/>
      <w:sz w:val="21"/>
      <w:szCs w:val="22"/>
    </w:rPr>
  </w:style>
  <w:style w:type="character" w:customStyle="1" w:styleId="28">
    <w:name w:val="Default Paragraph Font261cdc6a"/>
    <w:semiHidden/>
    <w:qFormat/>
    <w:uiPriority w:val="0"/>
  </w:style>
  <w:style w:type="table" w:customStyle="1" w:styleId="29">
    <w:name w:val="Normal Tablef486e0df"/>
    <w:semiHidden/>
    <w:unhideWhenUsed/>
    <w:qFormat/>
    <w:uiPriority w:val="99"/>
    <w:tblPr>
      <w:tblCellMar>
        <w:top w:w="0" w:type="dxa"/>
        <w:left w:w="108" w:type="dxa"/>
        <w:bottom w:w="0" w:type="dxa"/>
        <w:right w:w="108" w:type="dxa"/>
      </w:tblCellMar>
    </w:tblPr>
  </w:style>
  <w:style w:type="table" w:customStyle="1" w:styleId="30">
    <w:name w:val="Table Gridb579fa6c"/>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
    <w:name w:val="Normal248478a2"/>
    <w:qFormat/>
    <w:uiPriority w:val="0"/>
    <w:pPr>
      <w:widowControl w:val="0"/>
      <w:jc w:val="both"/>
    </w:pPr>
    <w:rPr>
      <w:rFonts w:asciiTheme="minorHAnsi" w:hAnsiTheme="minorHAnsi" w:eastAsiaTheme="minorEastAsia" w:cstheme="minorBidi"/>
      <w:sz w:val="21"/>
      <w:szCs w:val="22"/>
    </w:rPr>
  </w:style>
  <w:style w:type="character" w:customStyle="1" w:styleId="32">
    <w:name w:val="Default Paragraph Fonte2910163"/>
    <w:semiHidden/>
    <w:qFormat/>
    <w:uiPriority w:val="0"/>
  </w:style>
  <w:style w:type="table" w:customStyle="1" w:styleId="33">
    <w:name w:val="Normal Tableaf175a50"/>
    <w:semiHidden/>
    <w:qFormat/>
    <w:uiPriority w:val="0"/>
    <w:tblPr>
      <w:tblCellMar>
        <w:top w:w="0" w:type="dxa"/>
        <w:left w:w="108" w:type="dxa"/>
        <w:bottom w:w="0" w:type="dxa"/>
        <w:right w:w="108" w:type="dxa"/>
      </w:tblCellMar>
    </w:tblPr>
  </w:style>
  <w:style w:type="paragraph" w:customStyle="1" w:styleId="34">
    <w:name w:val="Normal6a6ded70ade87e54"/>
    <w:qFormat/>
    <w:uiPriority w:val="0"/>
    <w:pPr>
      <w:widowControl w:val="0"/>
      <w:jc w:val="both"/>
    </w:pPr>
    <w:rPr>
      <w:rFonts w:ascii="等线" w:hAnsi="等线" w:eastAsia="等线" w:cs="Arial"/>
      <w:sz w:val="21"/>
      <w:szCs w:val="22"/>
      <w:lang w:val="en-US" w:eastAsia="zh-CN" w:bidi="ar-SA"/>
    </w:rPr>
  </w:style>
  <w:style w:type="paragraph" w:customStyle="1" w:styleId="35">
    <w:name w:val="正文 A655a1c76"/>
    <w:qFormat/>
    <w:uiPriority w:val="0"/>
    <w:pPr>
      <w:widowControl w:val="0"/>
      <w:spacing w:after="0" w:line="240" w:lineRule="auto"/>
      <w:jc w:val="both"/>
    </w:pPr>
    <w:rPr>
      <w:rFonts w:ascii="Times New Roman" w:hAnsi="Times New Roman" w:eastAsia="Calibri" w:cs="Calibri"/>
      <w:color w:val="000000"/>
      <w:kern w:val="2"/>
      <w:sz w:val="21"/>
      <w:szCs w:val="21"/>
      <w:u w:color="000000"/>
      <w:lang w:val="en-US" w:eastAsia="zh-CN" w:bidi="ar-SA"/>
    </w:rPr>
  </w:style>
  <w:style w:type="paragraph" w:customStyle="1" w:styleId="36">
    <w:name w:val="Normal3118f9e4"/>
    <w:qFormat/>
    <w:uiPriority w:val="0"/>
    <w:pPr>
      <w:widowControl w:val="0"/>
      <w:jc w:val="both"/>
    </w:pPr>
    <w:rPr>
      <w:rFonts w:asciiTheme="minorHAnsi" w:hAnsiTheme="minorHAnsi" w:eastAsiaTheme="minorEastAsia" w:cstheme="minorBidi"/>
      <w:sz w:val="21"/>
      <w:szCs w:val="22"/>
    </w:rPr>
  </w:style>
  <w:style w:type="character" w:customStyle="1" w:styleId="37">
    <w:name w:val="Default Paragraph Fonta66fe152"/>
    <w:semiHidden/>
    <w:qFormat/>
    <w:uiPriority w:val="0"/>
  </w:style>
  <w:style w:type="table" w:customStyle="1" w:styleId="38">
    <w:name w:val="Normal Table2259f361"/>
    <w:semiHidden/>
    <w:qFormat/>
    <w:uiPriority w:val="0"/>
    <w:tblPr>
      <w:tblCellMar>
        <w:top w:w="0" w:type="dxa"/>
        <w:left w:w="108" w:type="dxa"/>
        <w:bottom w:w="0" w:type="dxa"/>
        <w:right w:w="108" w:type="dxa"/>
      </w:tblCellMar>
    </w:tblPr>
  </w:style>
  <w:style w:type="paragraph" w:customStyle="1" w:styleId="39">
    <w:name w:val="Normal6d2a5aff79589cd8"/>
    <w:qFormat/>
    <w:uiPriority w:val="0"/>
    <w:pPr>
      <w:widowControl w:val="0"/>
      <w:jc w:val="both"/>
    </w:pPr>
    <w:rPr>
      <w:rFonts w:asciiTheme="minorHAnsi" w:hAnsiTheme="minorHAnsi" w:eastAsiaTheme="minorEastAsia" w:cstheme="minorBidi"/>
      <w:sz w:val="21"/>
      <w:szCs w:val="22"/>
    </w:rPr>
  </w:style>
  <w:style w:type="paragraph" w:customStyle="1" w:styleId="40">
    <w:name w:val="Normal6d2a5affde2c3641589887e0"/>
    <w:qFormat/>
    <w:uiPriority w:val="0"/>
    <w:pPr>
      <w:widowControl w:val="0"/>
      <w:jc w:val="both"/>
    </w:pPr>
    <w:rPr>
      <w:rFonts w:ascii="等线" w:hAnsi="等线" w:eastAsia="等线" w:cs="Arial"/>
      <w:sz w:val="21"/>
      <w:szCs w:val="22"/>
      <w:lang w:val="en-US" w:eastAsia="zh-CN" w:bidi="ar-SA"/>
    </w:rPr>
  </w:style>
  <w:style w:type="character" w:customStyle="1" w:styleId="41">
    <w:name w:val="font31526df2c0"/>
    <w:basedOn w:val="37"/>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13973</Words>
  <Characters>14560</Characters>
  <Lines>1</Lines>
  <Paragraphs>1</Paragraphs>
  <TotalTime>239</TotalTime>
  <ScaleCrop>false</ScaleCrop>
  <LinksUpToDate>false</LinksUpToDate>
  <CharactersWithSpaces>14726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2022-06-11T01:08:00Z</dcterms:created>
  <dc:creator>宋 艳艳</dc:creator>
  <cp:lastModifiedBy>kylin</cp:lastModifiedBy>
  <dcterms:modified xsi:type="dcterms:W3CDTF">2025-03-25T09:48:36Z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72A51FBC10CB4894B338C319A218BD1F</vt:lpwstr>
  </property>
  <property fmtid="{D5CDD505-2E9C-101B-9397-08002B2CF9AE}" pid="4" name="KSOTemplateDocerSaveRecord">
    <vt:lpwstr>eyJoZGlkIjoiYzdmNjQ0Y2QxZmQ0ZjAwYjI4NDllMmZhYzRjZDE4OTAiLCJ1c2VySWQiOiI2MzEwNjI1NjEifQ==</vt:lpwstr>
  </property>
</Properties>
</file>