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方正小标宋_GBK" w:cs="Times New Roman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b/>
          <w:bCs w:val="0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求是杂志社</w:t>
      </w:r>
      <w:r>
        <w:rPr>
          <w:rFonts w:hint="default" w:ascii="Times New Roman" w:hAnsi="Times New Roman" w:eastAsia="方正小标宋_GBK" w:cs="Times New Roman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方正小标宋_GBK" w:cs="Times New Roman"/>
          <w:b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方正小标宋_GBK" w:cs="Times New Roman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年《求是》杂志专用纸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方正小标宋_GBK" w:cs="Times New Roman"/>
          <w:b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_GBK" w:cs="Times New Roman"/>
          <w:b/>
          <w:bCs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采购项目</w:t>
      </w:r>
      <w:r>
        <w:rPr>
          <w:rFonts w:hint="default" w:ascii="Times New Roman" w:hAnsi="Times New Roman" w:eastAsia="方正小标宋_GBK" w:cs="Times New Roman"/>
          <w:b/>
          <w:bCs w:val="0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采购需求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一、采购内容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包：正文80克涂布纯质纸（15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00吨），交货地点为北京、四川、江苏、浙江、广东、甘肃、河南、湖南、山东、山西。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包：封面157克铜版纸（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8"/>
          <w:szCs w:val="28"/>
        </w:rPr>
        <w:t>1</w:t>
      </w:r>
      <w:r>
        <w:rPr>
          <w:rFonts w:hint="default" w:ascii="Times New Roman" w:hAnsi="Times New Roman" w:eastAsia="宋体" w:cs="Times New Roman"/>
          <w:b/>
          <w:bCs w:val="0"/>
          <w:color w:val="000000"/>
          <w:sz w:val="28"/>
          <w:szCs w:val="28"/>
          <w:lang w:val="en-US" w:eastAsia="zh-CN"/>
        </w:rPr>
        <w:t>380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吨），交货地点为北京、四川、江苏、浙江、广东、甘肃、河南、湖南、山东、山西。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二、交货要求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月直至合同量履约完成，按需分批供货。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三、履约保证金：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本项目不收取履约保证金。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四、采购资金支付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本项目按需分批供货，每批货物验收合格之日起30日内付款。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项目组织实施</w:t>
      </w:r>
      <w:r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方案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供应商需提供针对本项目的组织实施方案，包括但不限于：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生产加工能力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主要包括生产加工设备及检验设备情况（包括自有设备及租赁设备）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能够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满足项目需求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生产管理制度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3.交货时间保障方案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.运输安全保障方案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.产品质量控制方案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包括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保证供货产品满足招标文件要求及投标文件承诺的相关措施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供货产品出现质量问题时的整改措施和赔偿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方案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内部相关人员的责任追溯和处罚措施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售后服务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方案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及联系人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、联系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方式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应急组织预案</w:t>
      </w:r>
      <w:r>
        <w:rPr>
          <w:rFonts w:hint="eastAsia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。包括但不限于：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特定时间增大供应量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自然灾害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气候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、批次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出现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质量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问题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、其它突发事件的应急组织预案。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eastAsia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、产品技术指标：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以下标注“★”的指标是符合性审查项，投标人必须逐项响应，并提供所投产品的具体参数值，如不满足要求将按无效投标处理。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 w:val="0"/>
        </w:rPr>
      </w:pPr>
    </w:p>
    <w:tbl>
      <w:tblPr>
        <w:tblStyle w:val="6"/>
        <w:tblW w:w="4893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409"/>
        <w:gridCol w:w="1712"/>
        <w:gridCol w:w="1995"/>
        <w:gridCol w:w="1195"/>
        <w:gridCol w:w="12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  <w:t>年《求是》杂志正文专用80克涂布纯质纸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  <w:t>主要技术标准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1251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</w:pPr>
          </w:p>
        </w:tc>
        <w:tc>
          <w:tcPr>
            <w:tcW w:w="3748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序号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重要程度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项目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单位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标准值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定量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g/㎡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2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定量偏差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g/㎡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±1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3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厚度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mm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0.093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4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厚度偏差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±3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5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横幅厚度差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6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亮度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7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不透明度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≥86.0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8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吸水性（正/反面）［60s］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g/㎡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20.0-45.0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9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抗张指数（纵向）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N·m/g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10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耐折度（横向）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次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11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9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平滑度</w:t>
            </w:r>
          </w:p>
        </w:tc>
        <w:tc>
          <w:tcPr>
            <w:tcW w:w="11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正/反面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s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12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9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两面差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13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伸缩性（横向） ［浸水15min］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14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印刷表面强度［中粘］</w:t>
            </w:r>
          </w:p>
        </w:tc>
        <w:tc>
          <w:tcPr>
            <w:tcW w:w="11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正/反面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m/s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15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98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尘埃度</w:t>
            </w:r>
          </w:p>
        </w:tc>
        <w:tc>
          <w:tcPr>
            <w:tcW w:w="11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（0.2-0.5）mm²</w:t>
            </w:r>
          </w:p>
        </w:tc>
        <w:tc>
          <w:tcPr>
            <w:tcW w:w="6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个/㎡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16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98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1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≥0.5 mm²</w:t>
            </w:r>
          </w:p>
        </w:tc>
        <w:tc>
          <w:tcPr>
            <w:tcW w:w="6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不应有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17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灰分(900℃)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18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木浆含量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19</w:t>
            </w:r>
          </w:p>
        </w:tc>
        <w:tc>
          <w:tcPr>
            <w:tcW w:w="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13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每卷接头</w:t>
            </w:r>
          </w:p>
        </w:tc>
        <w:tc>
          <w:tcPr>
            <w:tcW w:w="6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个</w:t>
            </w:r>
          </w:p>
        </w:tc>
        <w:tc>
          <w:tcPr>
            <w:tcW w:w="9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 w:val="0"/>
        </w:rPr>
      </w:pPr>
    </w:p>
    <w:tbl>
      <w:tblPr>
        <w:tblStyle w:val="6"/>
        <w:tblW w:w="494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285"/>
        <w:gridCol w:w="1448"/>
        <w:gridCol w:w="2377"/>
        <w:gridCol w:w="996"/>
        <w:gridCol w:w="14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  <w:t>202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  <w:t>年《求是》杂志封面专用157克铜版纸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  <w:t>主要技术标准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47" w:type="pct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</w:pPr>
          </w:p>
        </w:tc>
        <w:tc>
          <w:tcPr>
            <w:tcW w:w="3752" w:type="pct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序号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重要程度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项目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单位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标准值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定量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g/㎡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2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定量偏差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g/㎡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±2.0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3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厚度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mm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0.136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4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厚度偏差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±4.0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5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横幅厚度差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6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D65亮度（正/反面）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≤91.0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7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不透明度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≥95.0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8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挺  度（纵向/横向）                                          ［弯曲角度15°，弯曲长度10mm］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mN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≥260/160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9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平滑度（正反面）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s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10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光泽度 （正/反面） 重量涂布 ［75°］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光泽度单位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11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印刷光泽度 （正/反面） ［75°］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光泽度单位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12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印刷表面粗糙度（正/反面）［软垫 1.0MPa］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μm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≤1.60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13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油墨吸收性 （正反面）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3-14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14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印刷表面强度 （正反面） ［中粘］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m／s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≥2.00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15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85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尘埃度</w:t>
            </w: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（0.2-0.5）mm²</w:t>
            </w:r>
          </w:p>
        </w:tc>
        <w:tc>
          <w:tcPr>
            <w:tcW w:w="59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个/㎡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≤3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16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85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141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≥0.5 mm²</w:t>
            </w:r>
          </w:p>
        </w:tc>
        <w:tc>
          <w:tcPr>
            <w:tcW w:w="59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不应有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17</w:t>
            </w:r>
          </w:p>
        </w:tc>
        <w:tc>
          <w:tcPr>
            <w:tcW w:w="7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★</w:t>
            </w:r>
          </w:p>
        </w:tc>
        <w:tc>
          <w:tcPr>
            <w:tcW w:w="227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木浆含量</w:t>
            </w:r>
          </w:p>
        </w:tc>
        <w:tc>
          <w:tcPr>
            <w:tcW w:w="5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%</w:t>
            </w:r>
          </w:p>
        </w:tc>
        <w:tc>
          <w:tcPr>
            <w:tcW w:w="88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b/>
                <w:bCs w:val="0"/>
                <w:kern w:val="0"/>
                <w:sz w:val="21"/>
                <w:szCs w:val="21"/>
              </w:rPr>
              <w:t>100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ascii="Times New Roman" w:hAnsi="Times New Roman" w:eastAsia="宋体" w:cs="Times New Roman"/>
          <w:b/>
          <w:bCs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hint="default" w:ascii="方正黑体简体" w:hAnsi="方正黑体简体" w:eastAsia="方正黑体简体" w:cs="方正黑体简体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、样品要求：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1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按照《202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年&lt;求是&gt;杂志正文专用80克涂布纯质纸主要技术标准》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《202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年&lt;求是&gt;杂志封面专用157克铜版纸主要技术标准》中的相关技术标准要求，投标人提交摆样样品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同时提交所有摆样样品清单一份，加盖投标人公章，留下联系人名称及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联系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（一）样刊：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1.样刊用纸须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使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用投标产品，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样刊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2024年1月1日以后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印制的彩色印刷品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（对外发行或内部刊物均可）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，第一包2份，第二包2份；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2.样刊要求包装密封完好；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3.样刊加盖投标人公章，注明“样刊”字样和日期。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（二）样纸：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包：正文80克涂布纯质纸。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1.样纸2份；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2.样纸每份10张，规格600mm×600mm，中心和四角加盖投标人公章；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3.样纸注明“样纸”字样和日期；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4.样纸包装密封完好。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包：封面157克铜版纸。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1.样纸2份；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2.样纸每份10张，规格600mm×600mm，中心和四角加盖投标人公章；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3.样纸注明“样纸”字样和日期；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4.样纸包装密封完好。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（三）其他要求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中标公告发布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后，未中标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供应商应于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7个工作日内联系采购中心取回样品，逾期视为放弃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样品，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采购人或采购中心将自行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处理；对于中标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提供的样品，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采购人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进行保管、封存，并作为履约验收的参考。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FF"/>
          <w:sz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2.采购人有权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持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样品到有关质量监督检验机构进行检测。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摆样产品技术要求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摆样产品除满足招标文件规定的技术参数要求之外，还应满足以下要求：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样纸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（1）纸面平整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（2）有一定拉力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（3）不应有洞眼、裂口、褶皱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（4）不应有汽斑、玻璃花、压爆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（5）均匀度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适宜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（6）浆渣、杂质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合理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样刊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（1）样刊为使用投标产品的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2024年1月1日以后的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彩色印刷品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（对外发行或内部刊物均可）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（2）样刊无掉毛掉粉掉渣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（3）无透印，吸墨性、均匀度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适宜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562" w:firstLineChars="200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（4）浆渣、杂质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合理</w:t>
      </w: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b/>
          <w:bCs w:val="0"/>
          <w:color w:val="00B050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31622637"/>
    </w:sdtPr>
    <w:sdtContent>
      <w:sdt>
        <w:sdtPr>
          <w:id w:val="1728636285"/>
        </w:sdtPr>
        <w:sdtContent>
          <w:p>
            <w:pPr>
              <w:pStyle w:val="4"/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1MmJmZGNhZTIzN2NlYzQ4YjdkYTVkODY1YTI1YjkifQ=="/>
  </w:docVars>
  <w:rsids>
    <w:rsidRoot w:val="00D315A5"/>
    <w:rsid w:val="0009348B"/>
    <w:rsid w:val="0022412D"/>
    <w:rsid w:val="00227DBF"/>
    <w:rsid w:val="004621AA"/>
    <w:rsid w:val="00484EBF"/>
    <w:rsid w:val="005A68E2"/>
    <w:rsid w:val="005D619F"/>
    <w:rsid w:val="006046F6"/>
    <w:rsid w:val="00752AE3"/>
    <w:rsid w:val="00883016"/>
    <w:rsid w:val="008950CA"/>
    <w:rsid w:val="008D6EC2"/>
    <w:rsid w:val="00AE4DC1"/>
    <w:rsid w:val="00B75669"/>
    <w:rsid w:val="00BC30CC"/>
    <w:rsid w:val="00CD2FDB"/>
    <w:rsid w:val="00CF6956"/>
    <w:rsid w:val="00D315A5"/>
    <w:rsid w:val="00D87CDB"/>
    <w:rsid w:val="00DC18B3"/>
    <w:rsid w:val="00FC11BB"/>
    <w:rsid w:val="02AF0EE1"/>
    <w:rsid w:val="07F21039"/>
    <w:rsid w:val="123B29C6"/>
    <w:rsid w:val="1362428E"/>
    <w:rsid w:val="15BEF297"/>
    <w:rsid w:val="18DE20C1"/>
    <w:rsid w:val="1ED1F7A9"/>
    <w:rsid w:val="1F944358"/>
    <w:rsid w:val="2287273D"/>
    <w:rsid w:val="23ED89A1"/>
    <w:rsid w:val="27CFD4D6"/>
    <w:rsid w:val="34DE14A3"/>
    <w:rsid w:val="377D4DB4"/>
    <w:rsid w:val="3BD60219"/>
    <w:rsid w:val="3C3B34B5"/>
    <w:rsid w:val="3DD6845D"/>
    <w:rsid w:val="3EFFCCF7"/>
    <w:rsid w:val="3FCB1160"/>
    <w:rsid w:val="3FDB63AE"/>
    <w:rsid w:val="47C307BC"/>
    <w:rsid w:val="4E561036"/>
    <w:rsid w:val="4FADEE25"/>
    <w:rsid w:val="516F2852"/>
    <w:rsid w:val="577F3E79"/>
    <w:rsid w:val="5A743F6D"/>
    <w:rsid w:val="5C7F56D2"/>
    <w:rsid w:val="5FD56186"/>
    <w:rsid w:val="65FD96D0"/>
    <w:rsid w:val="66333E59"/>
    <w:rsid w:val="67BBFB3E"/>
    <w:rsid w:val="67FCFEA6"/>
    <w:rsid w:val="6AFF5F36"/>
    <w:rsid w:val="6F2C76CF"/>
    <w:rsid w:val="6F6F272A"/>
    <w:rsid w:val="73848F9C"/>
    <w:rsid w:val="7593534A"/>
    <w:rsid w:val="763F4E9D"/>
    <w:rsid w:val="76FF1C70"/>
    <w:rsid w:val="77EE178B"/>
    <w:rsid w:val="77EF1A4B"/>
    <w:rsid w:val="796BAF64"/>
    <w:rsid w:val="7AF6BAA6"/>
    <w:rsid w:val="7BDFC902"/>
    <w:rsid w:val="7BF0B030"/>
    <w:rsid w:val="7C403356"/>
    <w:rsid w:val="7DD22D5B"/>
    <w:rsid w:val="7EE702B2"/>
    <w:rsid w:val="7F9FE937"/>
    <w:rsid w:val="7FB9A58F"/>
    <w:rsid w:val="7FEE1DAA"/>
    <w:rsid w:val="7FF5A1C4"/>
    <w:rsid w:val="7FFBC948"/>
    <w:rsid w:val="957E4FA1"/>
    <w:rsid w:val="AEDD3E8A"/>
    <w:rsid w:val="BEF545F7"/>
    <w:rsid w:val="BF76814F"/>
    <w:rsid w:val="BFFB80E3"/>
    <w:rsid w:val="CD5B0497"/>
    <w:rsid w:val="CF73DDCD"/>
    <w:rsid w:val="CFEFD8C7"/>
    <w:rsid w:val="DBD7AFB3"/>
    <w:rsid w:val="DDBF0AFB"/>
    <w:rsid w:val="DDFD1082"/>
    <w:rsid w:val="E6EDBDD5"/>
    <w:rsid w:val="EDF3ECEE"/>
    <w:rsid w:val="EF7FA867"/>
    <w:rsid w:val="F1BF9ABC"/>
    <w:rsid w:val="F477688E"/>
    <w:rsid w:val="F57F6CCB"/>
    <w:rsid w:val="F5EBF80F"/>
    <w:rsid w:val="F671A251"/>
    <w:rsid w:val="F8A7C3DB"/>
    <w:rsid w:val="F9FEF7F9"/>
    <w:rsid w:val="FBFFA922"/>
    <w:rsid w:val="FCD7209D"/>
    <w:rsid w:val="FF3B80FA"/>
    <w:rsid w:val="FFB7D062"/>
    <w:rsid w:val="FFDE7F5D"/>
    <w:rsid w:val="FFF6F4EC"/>
    <w:rsid w:val="FFF9F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2598</Words>
  <Characters>2864</Characters>
  <Lines>19</Lines>
  <Paragraphs>5</Paragraphs>
  <TotalTime>3</TotalTime>
  <ScaleCrop>false</ScaleCrop>
  <LinksUpToDate>false</LinksUpToDate>
  <CharactersWithSpaces>2939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2021-12-01T16:35:00Z</dcterms:created>
  <dc:creator>Weizhen</dc:creator>
  <cp:lastModifiedBy>pkw</cp:lastModifiedBy>
  <cp:lastPrinted>2025-01-25T01:11:00Z</cp:lastPrinted>
  <dcterms:modified xsi:type="dcterms:W3CDTF">2025-02-19T11:19:24Z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C771F23B9444419DA3198D677EFD5585</vt:lpwstr>
  </property>
</Properties>
</file>