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sz w:val="44"/>
          <w:szCs w:val="44"/>
        </w:rPr>
      </w:pPr>
      <w:r>
        <w:rPr>
          <w:rFonts w:hint="eastAsia" w:ascii="宋体" w:hAnsi="宋体" w:eastAsia="宋体"/>
          <w:sz w:val="44"/>
          <w:szCs w:val="44"/>
        </w:rPr>
        <w:t>中国劳动关系学院智慧校园虚拟化平台升级改造采购项目采购需求</w:t>
      </w:r>
    </w:p>
    <w:p>
      <w:pPr>
        <w:rPr>
          <w:rFonts w:hint="eastAsia" w:ascii="宋体" w:hAnsi="宋体" w:eastAsia="宋体"/>
          <w:sz w:val="24"/>
          <w:szCs w:val="24"/>
        </w:rPr>
      </w:pPr>
    </w:p>
    <w:p>
      <w:pPr>
        <w:pStyle w:val="2"/>
        <w:spacing w:before="0" w:after="0" w:line="360" w:lineRule="auto"/>
        <w:rPr>
          <w:rFonts w:hint="eastAsia" w:ascii="黑体" w:hAnsi="黑体" w:eastAsia="黑体" w:cs="黑体"/>
          <w:b w:val="0"/>
          <w:sz w:val="24"/>
          <w:szCs w:val="24"/>
        </w:rPr>
      </w:pPr>
      <w:bookmarkStart w:id="0" w:name="_Toc1507599939"/>
      <w:r>
        <w:rPr>
          <w:rFonts w:hint="eastAsia" w:ascii="黑体" w:hAnsi="黑体" w:eastAsia="黑体" w:cs="黑体"/>
          <w:b w:val="0"/>
          <w:sz w:val="24"/>
          <w:szCs w:val="24"/>
        </w:rPr>
        <w:t>一、技术需求</w:t>
      </w:r>
      <w:bookmarkEnd w:id="0"/>
    </w:p>
    <w:p>
      <w:pPr>
        <w:pStyle w:val="3"/>
        <w:spacing w:before="156" w:beforeLines="50" w:after="156" w:afterLines="50" w:line="360" w:lineRule="auto"/>
        <w:rPr>
          <w:rFonts w:hint="eastAsia" w:ascii="宋体" w:hAnsi="宋体" w:eastAsia="宋体" w:cs="宋体"/>
          <w:b w:val="0"/>
          <w:sz w:val="24"/>
          <w:szCs w:val="24"/>
        </w:rPr>
      </w:pPr>
      <w:bookmarkStart w:id="1" w:name="_Toc1204627341"/>
      <w:r>
        <w:rPr>
          <w:rFonts w:hint="eastAsia" w:ascii="宋体" w:hAnsi="宋体" w:eastAsia="宋体" w:cs="宋体"/>
          <w:b w:val="0"/>
          <w:sz w:val="24"/>
          <w:szCs w:val="24"/>
        </w:rPr>
        <w:t>（一）采购内容</w:t>
      </w:r>
      <w:bookmarkEnd w:id="1"/>
    </w:p>
    <w:tbl>
      <w:tblPr>
        <w:tblStyle w:val="16"/>
        <w:tblW w:w="9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00"/>
        <w:gridCol w:w="864"/>
        <w:gridCol w:w="960"/>
        <w:gridCol w:w="2448"/>
        <w:gridCol w:w="2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09"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1800"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名称</w:t>
            </w:r>
          </w:p>
        </w:tc>
        <w:tc>
          <w:tcPr>
            <w:tcW w:w="864"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数量</w:t>
            </w:r>
          </w:p>
        </w:tc>
        <w:tc>
          <w:tcPr>
            <w:tcW w:w="960"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单位</w:t>
            </w:r>
          </w:p>
        </w:tc>
        <w:tc>
          <w:tcPr>
            <w:tcW w:w="2448"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技术参数要求</w:t>
            </w:r>
          </w:p>
        </w:tc>
        <w:tc>
          <w:tcPr>
            <w:tcW w:w="2604" w:type="dxa"/>
            <w:vAlign w:val="center"/>
          </w:tcPr>
          <w:p>
            <w:pPr>
              <w:jc w:val="center"/>
              <w:rPr>
                <w:rFonts w:hint="eastAsia" w:ascii="宋体" w:hAnsi="宋体" w:eastAsia="宋体" w:cs="宋体"/>
                <w:b/>
                <w:bCs/>
                <w:kern w:val="0"/>
                <w:sz w:val="24"/>
                <w:szCs w:val="24"/>
              </w:rPr>
            </w:pPr>
            <w:r>
              <w:rPr>
                <w:rFonts w:hint="eastAsia" w:ascii="Times New Roman" w:hAnsi="Times New Roman" w:eastAsia="方正公文仿宋"/>
                <w:b/>
                <w:bCs/>
                <w:kern w:val="0"/>
                <w:sz w:val="24"/>
                <w:szCs w:val="24"/>
              </w:rPr>
              <w:t>最高限价（万元）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09" w:type="dxa"/>
            <w:vAlign w:val="center"/>
          </w:tcPr>
          <w:p>
            <w:pPr>
              <w:jc w:val="center"/>
              <w:rPr>
                <w:rFonts w:hint="eastAsia" w:ascii="宋体" w:hAnsi="宋体" w:eastAsia="宋体" w:cs="宋体"/>
                <w:bCs/>
                <w:kern w:val="0"/>
                <w:sz w:val="24"/>
                <w:szCs w:val="24"/>
              </w:rPr>
            </w:pPr>
            <w:r>
              <w:rPr>
                <w:rFonts w:hint="eastAsia" w:ascii="宋体" w:hAnsi="宋体" w:eastAsia="宋体" w:cs="宋体"/>
                <w:bCs/>
                <w:color w:val="000000"/>
                <w:kern w:val="0"/>
                <w:sz w:val="24"/>
                <w:szCs w:val="24"/>
                <w:lang w:bidi="ar"/>
              </w:rPr>
              <w:t>1</w:t>
            </w:r>
          </w:p>
        </w:tc>
        <w:tc>
          <w:tcPr>
            <w:tcW w:w="1800" w:type="dxa"/>
            <w:vAlign w:val="center"/>
          </w:tcPr>
          <w:p>
            <w:pPr>
              <w:widowControl/>
              <w:jc w:val="center"/>
              <w:rPr>
                <w:rFonts w:hint="eastAsia" w:ascii="宋体" w:hAnsi="宋体" w:eastAsia="宋体" w:cs="宋体"/>
                <w:bCs/>
                <w:kern w:val="0"/>
                <w:sz w:val="24"/>
                <w:szCs w:val="24"/>
              </w:rPr>
            </w:pPr>
            <w:r>
              <w:rPr>
                <w:rFonts w:hint="eastAsia" w:ascii="宋体" w:hAnsi="宋体" w:eastAsia="宋体" w:cs="宋体"/>
                <w:bCs/>
                <w:color w:val="000000"/>
                <w:kern w:val="0"/>
                <w:sz w:val="24"/>
                <w:szCs w:val="24"/>
                <w:lang w:bidi="ar"/>
              </w:rPr>
              <w:t>服务器</w:t>
            </w:r>
          </w:p>
        </w:tc>
        <w:tc>
          <w:tcPr>
            <w:tcW w:w="864" w:type="dxa"/>
            <w:vAlign w:val="center"/>
          </w:tcPr>
          <w:p>
            <w:pPr>
              <w:widowControl/>
              <w:jc w:val="center"/>
              <w:rPr>
                <w:rFonts w:hint="eastAsia" w:ascii="宋体" w:hAnsi="宋体" w:eastAsia="宋体" w:cs="宋体"/>
                <w:bCs/>
                <w:kern w:val="0"/>
                <w:sz w:val="24"/>
                <w:szCs w:val="24"/>
              </w:rPr>
            </w:pPr>
            <w:r>
              <w:rPr>
                <w:rFonts w:hint="eastAsia" w:ascii="宋体" w:hAnsi="宋体" w:eastAsia="宋体" w:cs="宋体"/>
                <w:color w:val="000000"/>
                <w:kern w:val="0"/>
                <w:sz w:val="24"/>
                <w:szCs w:val="24"/>
                <w:lang w:bidi="ar"/>
              </w:rPr>
              <w:t>8</w:t>
            </w:r>
          </w:p>
        </w:tc>
        <w:tc>
          <w:tcPr>
            <w:tcW w:w="960" w:type="dxa"/>
            <w:vAlign w:val="center"/>
          </w:tcPr>
          <w:p>
            <w:pPr>
              <w:widowControl/>
              <w:jc w:val="center"/>
              <w:rPr>
                <w:rFonts w:hint="eastAsia" w:ascii="宋体" w:hAnsi="宋体" w:eastAsia="宋体"/>
                <w:sz w:val="24"/>
                <w:szCs w:val="24"/>
              </w:rPr>
            </w:pPr>
            <w:r>
              <w:rPr>
                <w:rFonts w:hint="eastAsia" w:ascii="宋体" w:hAnsi="宋体" w:eastAsia="宋体"/>
                <w:sz w:val="24"/>
                <w:szCs w:val="24"/>
              </w:rPr>
              <w:t>台</w:t>
            </w:r>
          </w:p>
        </w:tc>
        <w:tc>
          <w:tcPr>
            <w:tcW w:w="2448" w:type="dxa"/>
            <w:vAlign w:val="center"/>
          </w:tcPr>
          <w:p>
            <w:pPr>
              <w:widowControl/>
              <w:jc w:val="center"/>
              <w:rPr>
                <w:rFonts w:hint="eastAsia" w:ascii="宋体" w:hAnsi="宋体" w:eastAsia="宋体" w:cs="宋体"/>
                <w:bCs/>
                <w:kern w:val="0"/>
                <w:sz w:val="24"/>
                <w:szCs w:val="24"/>
              </w:rPr>
            </w:pPr>
            <w:r>
              <w:rPr>
                <w:rFonts w:hint="eastAsia" w:ascii="宋体" w:hAnsi="宋体" w:eastAsia="宋体"/>
                <w:sz w:val="24"/>
                <w:szCs w:val="24"/>
              </w:rPr>
              <w:t>详见指标要求章节</w:t>
            </w:r>
          </w:p>
        </w:tc>
        <w:tc>
          <w:tcPr>
            <w:tcW w:w="2604" w:type="dxa"/>
            <w:vAlign w:val="center"/>
          </w:tcPr>
          <w:p>
            <w:pPr>
              <w:widowControl/>
              <w:jc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09" w:type="dxa"/>
            <w:vAlign w:val="center"/>
          </w:tcPr>
          <w:p>
            <w:pPr>
              <w:jc w:val="center"/>
              <w:rPr>
                <w:rFonts w:hint="eastAsia" w:ascii="宋体" w:hAnsi="宋体" w:eastAsia="宋体" w:cs="宋体"/>
                <w:bCs/>
                <w:kern w:val="0"/>
                <w:sz w:val="24"/>
                <w:szCs w:val="24"/>
              </w:rPr>
            </w:pPr>
            <w:r>
              <w:rPr>
                <w:rFonts w:hint="eastAsia" w:ascii="宋体" w:hAnsi="宋体" w:eastAsia="宋体" w:cs="宋体"/>
                <w:bCs/>
                <w:color w:val="000000"/>
                <w:kern w:val="0"/>
                <w:sz w:val="24"/>
                <w:szCs w:val="24"/>
                <w:lang w:bidi="ar"/>
              </w:rPr>
              <w:t>2</w:t>
            </w:r>
          </w:p>
        </w:tc>
        <w:tc>
          <w:tcPr>
            <w:tcW w:w="1800" w:type="dxa"/>
            <w:vAlign w:val="center"/>
          </w:tcPr>
          <w:p>
            <w:pPr>
              <w:widowControl/>
              <w:jc w:val="center"/>
              <w:rPr>
                <w:rFonts w:hint="eastAsia" w:ascii="宋体" w:hAnsi="宋体" w:eastAsia="宋体" w:cs="宋体"/>
                <w:bCs/>
                <w:kern w:val="0"/>
                <w:sz w:val="24"/>
                <w:szCs w:val="24"/>
              </w:rPr>
            </w:pPr>
            <w:r>
              <w:rPr>
                <w:rFonts w:hint="eastAsia" w:ascii="宋体" w:hAnsi="宋体" w:eastAsia="宋体" w:cs="宋体"/>
                <w:color w:val="000000"/>
                <w:kern w:val="0"/>
                <w:sz w:val="24"/>
                <w:szCs w:val="24"/>
                <w:lang w:bidi="ar"/>
              </w:rPr>
              <w:t>虚拟化软件系统</w:t>
            </w:r>
          </w:p>
        </w:tc>
        <w:tc>
          <w:tcPr>
            <w:tcW w:w="864" w:type="dxa"/>
            <w:vAlign w:val="center"/>
          </w:tcPr>
          <w:p>
            <w:pPr>
              <w:widowControl/>
              <w:jc w:val="center"/>
              <w:rPr>
                <w:rFonts w:hint="eastAsia" w:ascii="宋体" w:hAnsi="宋体" w:eastAsia="宋体" w:cs="宋体"/>
                <w:bCs/>
                <w:kern w:val="0"/>
                <w:sz w:val="24"/>
                <w:szCs w:val="24"/>
              </w:rPr>
            </w:pPr>
            <w:r>
              <w:rPr>
                <w:rFonts w:hint="eastAsia" w:ascii="宋体" w:hAnsi="宋体" w:eastAsia="宋体" w:cs="宋体"/>
                <w:color w:val="000000"/>
                <w:kern w:val="0"/>
                <w:sz w:val="24"/>
                <w:szCs w:val="24"/>
                <w:lang w:bidi="ar"/>
              </w:rPr>
              <w:t>16</w:t>
            </w:r>
          </w:p>
        </w:tc>
        <w:tc>
          <w:tcPr>
            <w:tcW w:w="960" w:type="dxa"/>
            <w:vAlign w:val="center"/>
          </w:tcPr>
          <w:p>
            <w:pPr>
              <w:widowControl/>
              <w:jc w:val="center"/>
              <w:rPr>
                <w:rFonts w:hint="eastAsia" w:ascii="宋体" w:hAnsi="宋体" w:eastAsia="宋体"/>
                <w:sz w:val="24"/>
                <w:szCs w:val="24"/>
              </w:rPr>
            </w:pPr>
            <w:r>
              <w:rPr>
                <w:rFonts w:hint="eastAsia" w:ascii="宋体" w:hAnsi="宋体" w:eastAsia="宋体"/>
                <w:sz w:val="24"/>
                <w:szCs w:val="24"/>
              </w:rPr>
              <w:t>套</w:t>
            </w:r>
          </w:p>
        </w:tc>
        <w:tc>
          <w:tcPr>
            <w:tcW w:w="2448" w:type="dxa"/>
            <w:vAlign w:val="center"/>
          </w:tcPr>
          <w:p>
            <w:pPr>
              <w:widowControl/>
              <w:jc w:val="center"/>
              <w:rPr>
                <w:rFonts w:hint="eastAsia" w:ascii="宋体" w:hAnsi="宋体" w:eastAsia="宋体" w:cs="宋体"/>
                <w:bCs/>
                <w:kern w:val="0"/>
                <w:sz w:val="24"/>
                <w:szCs w:val="24"/>
              </w:rPr>
            </w:pPr>
            <w:r>
              <w:rPr>
                <w:rFonts w:hint="eastAsia" w:ascii="宋体" w:hAnsi="宋体" w:eastAsia="宋体"/>
                <w:sz w:val="24"/>
                <w:szCs w:val="24"/>
              </w:rPr>
              <w:t>详见指标要求章节</w:t>
            </w:r>
          </w:p>
        </w:tc>
        <w:tc>
          <w:tcPr>
            <w:tcW w:w="2604" w:type="dxa"/>
            <w:vAlign w:val="center"/>
          </w:tcPr>
          <w:p>
            <w:pPr>
              <w:widowControl/>
              <w:jc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98</w:t>
            </w:r>
          </w:p>
        </w:tc>
      </w:tr>
    </w:tbl>
    <w:p>
      <w:pPr>
        <w:rPr>
          <w:rFonts w:hint="eastAsia" w:ascii="宋体" w:hAnsi="宋体" w:eastAsia="宋体" w:cs="宋体"/>
          <w:sz w:val="24"/>
          <w:szCs w:val="24"/>
        </w:rPr>
      </w:pPr>
    </w:p>
    <w:p>
      <w:pPr>
        <w:pStyle w:val="3"/>
        <w:spacing w:before="156" w:beforeLines="50" w:after="156" w:afterLines="50" w:line="360" w:lineRule="auto"/>
        <w:rPr>
          <w:rFonts w:hint="eastAsia" w:ascii="宋体" w:hAnsi="宋体" w:eastAsia="宋体" w:cs="宋体"/>
          <w:b w:val="0"/>
          <w:sz w:val="24"/>
          <w:szCs w:val="24"/>
        </w:rPr>
      </w:pPr>
      <w:bookmarkStart w:id="2" w:name="_Toc586774093"/>
      <w:bookmarkStart w:id="3" w:name="_Toc1806856"/>
      <w:bookmarkStart w:id="4" w:name="_Toc536793214"/>
      <w:bookmarkStart w:id="5" w:name="_Toc498002790"/>
      <w:bookmarkStart w:id="6" w:name="_Toc498002627"/>
      <w:bookmarkStart w:id="7" w:name="_Toc1806278"/>
      <w:r>
        <w:rPr>
          <w:rFonts w:hint="eastAsia" w:ascii="宋体" w:hAnsi="宋体" w:eastAsia="宋体" w:cs="宋体"/>
          <w:b w:val="0"/>
          <w:sz w:val="24"/>
          <w:szCs w:val="24"/>
        </w:rPr>
        <w:t>（二）指标要求</w:t>
      </w:r>
      <w:bookmarkEnd w:id="2"/>
      <w:bookmarkEnd w:id="3"/>
      <w:bookmarkEnd w:id="4"/>
      <w:bookmarkEnd w:id="5"/>
      <w:bookmarkEnd w:id="6"/>
      <w:bookmarkEnd w:id="7"/>
    </w:p>
    <w:p>
      <w:pPr>
        <w:spacing w:line="360" w:lineRule="auto"/>
        <w:ind w:firstLine="481" w:firstLineChars="200"/>
        <w:rPr>
          <w:rFonts w:hint="eastAsia" w:ascii="宋体" w:hAnsi="宋体" w:eastAsia="宋体" w:cs="宋体"/>
          <w:b/>
          <w:bCs/>
          <w:sz w:val="24"/>
          <w:szCs w:val="24"/>
          <w:lang w:bidi="ar"/>
        </w:rPr>
      </w:pPr>
      <w:r>
        <w:rPr>
          <w:rFonts w:hint="eastAsia" w:ascii="宋体" w:hAnsi="宋体" w:eastAsia="宋体" w:cs="宋体"/>
          <w:b/>
          <w:bCs/>
          <w:sz w:val="24"/>
          <w:szCs w:val="24"/>
          <w:lang w:bidi="ar"/>
        </w:rPr>
        <w:t>需求中标注“★”的指标为符合性审查指标，不满足将导致符合性审查不通过；标注“#”的指标为客观评分指标，不满足不得分。</w:t>
      </w:r>
      <w:bookmarkStart w:id="8" w:name="_Toc877137694"/>
      <w:bookmarkStart w:id="9" w:name="_Toc166139330"/>
    </w:p>
    <w:p>
      <w:pPr>
        <w:spacing w:line="360" w:lineRule="auto"/>
        <w:ind w:firstLine="480" w:firstLineChars="200"/>
        <w:rPr>
          <w:rFonts w:hint="eastAsia" w:ascii="宋体" w:hAnsi="宋体" w:eastAsia="宋体" w:cs="宋体"/>
          <w:sz w:val="24"/>
          <w:szCs w:val="24"/>
        </w:rPr>
      </w:pPr>
      <w:bookmarkStart w:id="10" w:name="_Hlk184373848"/>
      <w:r>
        <w:rPr>
          <w:rFonts w:hint="eastAsia" w:ascii="宋体" w:hAnsi="宋体" w:eastAsia="宋体" w:cs="宋体"/>
          <w:sz w:val="24"/>
          <w:szCs w:val="24"/>
        </w:rPr>
        <w:t>1.服务器</w:t>
      </w:r>
      <w:bookmarkEnd w:id="8"/>
      <w:bookmarkEnd w:id="10"/>
    </w:p>
    <w:tbl>
      <w:tblPr>
        <w:tblStyle w:val="16"/>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6592"/>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19"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6592"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名称</w:t>
            </w:r>
          </w:p>
        </w:tc>
        <w:tc>
          <w:tcPr>
            <w:tcW w:w="1319"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数量（台）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19" w:type="dxa"/>
            <w:vAlign w:val="center"/>
          </w:tcPr>
          <w:p>
            <w:pPr>
              <w:jc w:val="center"/>
              <w:rPr>
                <w:rFonts w:hint="eastAsia" w:ascii="宋体" w:hAnsi="宋体" w:eastAsia="宋体" w:cs="宋体"/>
                <w:bCs/>
                <w:kern w:val="0"/>
                <w:sz w:val="24"/>
                <w:szCs w:val="24"/>
              </w:rPr>
            </w:pPr>
            <w:r>
              <w:rPr>
                <w:rFonts w:hint="eastAsia" w:ascii="宋体" w:hAnsi="宋体" w:eastAsia="宋体" w:cs="宋体"/>
                <w:bCs/>
                <w:kern w:val="0"/>
                <w:sz w:val="24"/>
                <w:szCs w:val="24"/>
              </w:rPr>
              <w:t>1</w:t>
            </w:r>
          </w:p>
        </w:tc>
        <w:tc>
          <w:tcPr>
            <w:tcW w:w="6592" w:type="dxa"/>
            <w:vAlign w:val="center"/>
          </w:tcPr>
          <w:p>
            <w:pPr>
              <w:jc w:val="center"/>
              <w:rPr>
                <w:rFonts w:hint="eastAsia" w:ascii="宋体" w:hAnsi="宋体" w:eastAsia="宋体" w:cs="宋体"/>
                <w:bCs/>
                <w:kern w:val="0"/>
                <w:sz w:val="24"/>
                <w:szCs w:val="24"/>
              </w:rPr>
            </w:pPr>
            <w:r>
              <w:rPr>
                <w:rFonts w:hint="eastAsia" w:ascii="宋体" w:hAnsi="宋体" w:eastAsia="宋体" w:cs="宋体"/>
                <w:bCs/>
                <w:kern w:val="0"/>
                <w:sz w:val="24"/>
                <w:szCs w:val="24"/>
              </w:rPr>
              <w:t>服务器</w:t>
            </w:r>
          </w:p>
        </w:tc>
        <w:tc>
          <w:tcPr>
            <w:tcW w:w="1319" w:type="dxa"/>
            <w:vAlign w:val="center"/>
          </w:tcPr>
          <w:p>
            <w:pPr>
              <w:jc w:val="center"/>
              <w:rPr>
                <w:rFonts w:hint="eastAsia" w:ascii="宋体" w:hAnsi="宋体" w:eastAsia="宋体" w:cs="宋体"/>
                <w:bCs/>
                <w:kern w:val="0"/>
                <w:sz w:val="24"/>
                <w:szCs w:val="24"/>
              </w:rPr>
            </w:pPr>
            <w:r>
              <w:rPr>
                <w:rFonts w:hint="eastAsia" w:ascii="宋体" w:hAnsi="宋体" w:eastAsia="宋体" w:cs="宋体"/>
                <w:bCs/>
                <w:kern w:val="0"/>
                <w:sz w:val="24"/>
                <w:szCs w:val="24"/>
              </w:rPr>
              <w:t>8</w:t>
            </w:r>
          </w:p>
        </w:tc>
      </w:tr>
      <w:bookmarkEnd w:id="9"/>
    </w:tbl>
    <w:p>
      <w:pPr>
        <w:rPr>
          <w:rFonts w:hint="eastAsia" w:ascii="宋体" w:hAnsi="宋体" w:eastAsia="宋体" w:cs="宋体"/>
          <w:sz w:val="24"/>
          <w:szCs w:val="24"/>
        </w:rPr>
      </w:pPr>
    </w:p>
    <w:tbl>
      <w:tblPr>
        <w:tblStyle w:val="15"/>
        <w:tblpPr w:leftFromText="180" w:rightFromText="180" w:vertAnchor="text" w:horzAnchor="page" w:tblpX="1513" w:tblpY="317"/>
        <w:tblOverlap w:val="never"/>
        <w:tblW w:w="55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931"/>
        <w:gridCol w:w="1375"/>
        <w:gridCol w:w="692"/>
        <w:gridCol w:w="5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338" w:type="pct"/>
            <w:vMerge w:val="restart"/>
            <w:tcBorders>
              <w:tl2br w:val="nil"/>
              <w:tr2bl w:val="nil"/>
            </w:tcBorders>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1219" w:type="pct"/>
            <w:gridSpan w:val="2"/>
            <w:vMerge w:val="restart"/>
            <w:tcBorders>
              <w:tl2br w:val="nil"/>
              <w:tr2bl w:val="nil"/>
            </w:tcBorders>
            <w:shd w:val="clear" w:color="auto" w:fill="auto"/>
            <w:noWrap/>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技术参数</w:t>
            </w:r>
          </w:p>
        </w:tc>
        <w:tc>
          <w:tcPr>
            <w:tcW w:w="366" w:type="pct"/>
            <w:vMerge w:val="restart"/>
            <w:tcBorders>
              <w:tl2br w:val="nil"/>
              <w:tr2bl w:val="nil"/>
            </w:tcBorders>
            <w:shd w:val="clear" w:color="auto" w:fill="auto"/>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重要性</w:t>
            </w:r>
          </w:p>
        </w:tc>
        <w:tc>
          <w:tcPr>
            <w:tcW w:w="3076" w:type="pct"/>
            <w:vMerge w:val="restart"/>
            <w:tcBorders>
              <w:tl2br w:val="nil"/>
              <w:tr2bl w:val="nil"/>
            </w:tcBorders>
            <w:shd w:val="clear" w:color="auto" w:fill="auto"/>
            <w:noWrap/>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参数值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338" w:type="pct"/>
            <w:vMerge w:val="continue"/>
            <w:tcBorders>
              <w:tl2br w:val="nil"/>
              <w:tr2bl w:val="nil"/>
            </w:tcBorders>
            <w:shd w:val="clear" w:color="000000" w:fill="EBF1DE"/>
            <w:vAlign w:val="center"/>
          </w:tcPr>
          <w:p>
            <w:pPr>
              <w:jc w:val="center"/>
              <w:rPr>
                <w:rFonts w:hint="eastAsia" w:ascii="宋体" w:hAnsi="宋体" w:eastAsia="宋体" w:cs="宋体"/>
                <w:b/>
                <w:bCs/>
                <w:kern w:val="0"/>
                <w:sz w:val="24"/>
                <w:szCs w:val="24"/>
              </w:rPr>
            </w:pPr>
          </w:p>
        </w:tc>
        <w:tc>
          <w:tcPr>
            <w:tcW w:w="1219" w:type="pct"/>
            <w:gridSpan w:val="2"/>
            <w:vMerge w:val="continue"/>
            <w:tcBorders>
              <w:tl2br w:val="nil"/>
              <w:tr2bl w:val="nil"/>
            </w:tcBorders>
            <w:shd w:val="clear" w:color="000000" w:fill="EBF1DE"/>
            <w:noWrap/>
            <w:vAlign w:val="center"/>
          </w:tcPr>
          <w:p>
            <w:pPr>
              <w:jc w:val="center"/>
              <w:rPr>
                <w:rFonts w:hint="eastAsia" w:ascii="宋体" w:hAnsi="宋体" w:eastAsia="宋体" w:cs="宋体"/>
                <w:b/>
                <w:bCs/>
                <w:kern w:val="0"/>
                <w:sz w:val="24"/>
                <w:szCs w:val="24"/>
              </w:rPr>
            </w:pPr>
          </w:p>
        </w:tc>
        <w:tc>
          <w:tcPr>
            <w:tcW w:w="366" w:type="pct"/>
            <w:vMerge w:val="continue"/>
            <w:tcBorders>
              <w:tl2br w:val="nil"/>
              <w:tr2bl w:val="nil"/>
            </w:tcBorders>
            <w:shd w:val="clear" w:color="000000" w:fill="EBF1DE"/>
          </w:tcPr>
          <w:p>
            <w:pPr>
              <w:jc w:val="center"/>
              <w:rPr>
                <w:rFonts w:hint="eastAsia" w:ascii="宋体" w:hAnsi="宋体" w:eastAsia="宋体" w:cs="宋体"/>
                <w:b/>
                <w:bCs/>
                <w:kern w:val="0"/>
                <w:sz w:val="24"/>
                <w:szCs w:val="24"/>
              </w:rPr>
            </w:pPr>
          </w:p>
        </w:tc>
        <w:tc>
          <w:tcPr>
            <w:tcW w:w="3076" w:type="pct"/>
            <w:vMerge w:val="continue"/>
            <w:tcBorders>
              <w:tl2br w:val="nil"/>
              <w:tr2bl w:val="nil"/>
            </w:tcBorders>
            <w:shd w:val="clear" w:color="000000" w:fill="EBF1DE"/>
            <w:noWrap/>
            <w:vAlign w:val="center"/>
          </w:tcPr>
          <w:p>
            <w:pPr>
              <w:jc w:val="center"/>
              <w:rPr>
                <w:rFonts w:hint="eastAsia" w:ascii="宋体" w:hAnsi="宋体" w:eastAsia="宋体" w:cs="宋体"/>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338"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492"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服务器架构</w:t>
            </w: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架构要求</w:t>
            </w:r>
          </w:p>
        </w:tc>
        <w:tc>
          <w:tcPr>
            <w:tcW w:w="366"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硬件设备采用国产机架式服务器，设备规格≥2U，适用于通用机房环境，支持标准机柜。免工具开箱和部件维护设计，安装维护简便，无需额外工具。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338"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492"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处理器</w:t>
            </w: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处理器要求</w:t>
            </w:r>
          </w:p>
        </w:tc>
        <w:tc>
          <w:tcPr>
            <w:tcW w:w="366" w:type="pct"/>
            <w:tcBorders>
              <w:tl2br w:val="nil"/>
              <w:tr2bl w:val="nil"/>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实配≥2颗国产CPU；单颗处理器主频≥2.5GHz，核数≥16核。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38"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492"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内存</w:t>
            </w: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内存要求</w:t>
            </w:r>
          </w:p>
        </w:tc>
        <w:tc>
          <w:tcPr>
            <w:tcW w:w="366" w:type="pct"/>
            <w:tcBorders>
              <w:tl2br w:val="nil"/>
              <w:tr2bl w:val="nil"/>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本次实配≥8条，单条32GDDR4-3200MHz内存。支持RDIMM、LDIMM内存，单条最大64GB DDR4-3200MHz内存，可以支持扩展≥16 个内存插槽，</w:t>
            </w:r>
            <w:bookmarkStart w:id="11" w:name="_Hlk184373883"/>
            <w:r>
              <w:rPr>
                <w:rFonts w:hint="eastAsia" w:ascii="宋体" w:hAnsi="宋体" w:eastAsia="宋体" w:cs="宋体"/>
                <w:kern w:val="0"/>
                <w:sz w:val="24"/>
                <w:szCs w:val="24"/>
              </w:rPr>
              <w:t>支持≥1TB容量扩展</w:t>
            </w:r>
            <w:bookmarkEnd w:id="11"/>
            <w:r>
              <w:rPr>
                <w:rFonts w:hint="eastAsia" w:ascii="宋体" w:hAnsi="宋体" w:eastAsia="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38"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492" w:type="pct"/>
            <w:vMerge w:val="restar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硬盘</w:t>
            </w: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系统硬盘要求</w:t>
            </w:r>
          </w:p>
        </w:tc>
        <w:tc>
          <w:tcPr>
            <w:tcW w:w="366" w:type="pct"/>
            <w:tcBorders>
              <w:tl2br w:val="nil"/>
              <w:tr2bl w:val="nil"/>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bookmarkStart w:id="12" w:name="_Hlk184373919"/>
            <w:r>
              <w:rPr>
                <w:rFonts w:hint="eastAsia" w:ascii="宋体" w:hAnsi="宋体" w:eastAsia="宋体" w:cs="宋体"/>
                <w:kern w:val="0"/>
                <w:sz w:val="24"/>
                <w:szCs w:val="24"/>
              </w:rPr>
              <w:t>每台实配≥2块240</w:t>
            </w:r>
            <w:r>
              <w:t xml:space="preserve"> </w:t>
            </w:r>
            <w:r>
              <w:rPr>
                <w:rFonts w:ascii="宋体" w:hAnsi="宋体" w:eastAsia="宋体" w:cs="宋体"/>
                <w:kern w:val="0"/>
                <w:sz w:val="24"/>
                <w:szCs w:val="24"/>
              </w:rPr>
              <w:t>GB</w:t>
            </w:r>
            <w:r>
              <w:rPr>
                <w:rFonts w:hint="eastAsia" w:ascii="宋体" w:hAnsi="宋体" w:eastAsia="宋体" w:cs="宋体"/>
                <w:kern w:val="0"/>
                <w:sz w:val="24"/>
                <w:szCs w:val="24"/>
              </w:rPr>
              <w:t xml:space="preserve">  SATA SSD企业级硬盘</w:t>
            </w:r>
            <w:bookmarkEnd w:id="12"/>
            <w:r>
              <w:rPr>
                <w:rFonts w:hint="eastAsia" w:ascii="宋体" w:hAnsi="宋体" w:eastAsia="宋体" w:cs="宋体"/>
                <w:kern w:val="0"/>
                <w:sz w:val="24"/>
                <w:szCs w:val="24"/>
              </w:rPr>
              <w:t>，支持免工具热插拔维护。支持RAID1，可用于安装操作系统。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338" w:type="pct"/>
            <w:tcBorders>
              <w:tl2br w:val="nil"/>
              <w:tr2bl w:val="nil"/>
            </w:tcBorders>
            <w:shd w:val="clear" w:color="auto" w:fill="auto"/>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492" w:type="pct"/>
            <w:vMerge w:val="continue"/>
            <w:tcBorders>
              <w:tl2br w:val="nil"/>
              <w:tr2bl w:val="nil"/>
            </w:tcBorders>
            <w:shd w:val="clear" w:color="auto" w:fill="auto"/>
            <w:noWrap/>
            <w:vAlign w:val="center"/>
          </w:tcPr>
          <w:p>
            <w:pPr>
              <w:jc w:val="center"/>
              <w:rPr>
                <w:rFonts w:hint="eastAsia" w:ascii="宋体" w:hAnsi="宋体" w:eastAsia="宋体" w:cs="宋体"/>
                <w:kern w:val="0"/>
                <w:sz w:val="24"/>
                <w:szCs w:val="24"/>
              </w:rPr>
            </w:pP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数据硬盘要求</w:t>
            </w:r>
          </w:p>
        </w:tc>
        <w:tc>
          <w:tcPr>
            <w:tcW w:w="366" w:type="pct"/>
            <w:tcBorders>
              <w:tl2br w:val="nil"/>
              <w:tr2bl w:val="nil"/>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整机支持≥12块3.5" SATA/SAS热插拔硬盘；支持服务器磁盘盘序查看、点亮磁盘灯等功能。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338" w:type="pct"/>
            <w:tcBorders>
              <w:tl2br w:val="nil"/>
              <w:tr2bl w:val="nil"/>
            </w:tcBorders>
            <w:shd w:val="clear" w:color="auto" w:fill="auto"/>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492" w:type="pct"/>
            <w:vMerge w:val="continue"/>
            <w:tcBorders>
              <w:tl2br w:val="nil"/>
              <w:tr2bl w:val="nil"/>
            </w:tcBorders>
            <w:shd w:val="clear" w:color="auto" w:fill="auto"/>
            <w:noWrap/>
            <w:vAlign w:val="center"/>
          </w:tcPr>
          <w:p>
            <w:pPr>
              <w:jc w:val="center"/>
              <w:rPr>
                <w:rFonts w:hint="eastAsia" w:ascii="宋体" w:hAnsi="宋体" w:eastAsia="宋体" w:cs="宋体"/>
                <w:kern w:val="0"/>
                <w:sz w:val="24"/>
                <w:szCs w:val="24"/>
              </w:rPr>
            </w:pP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固态硬盘要求</w:t>
            </w:r>
          </w:p>
        </w:tc>
        <w:tc>
          <w:tcPr>
            <w:tcW w:w="366" w:type="pct"/>
            <w:tcBorders>
              <w:tl2br w:val="nil"/>
              <w:tr2bl w:val="nil"/>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每台实配≥6块 8TB SATA 企业级硬盘，</w:t>
            </w:r>
            <w:bookmarkStart w:id="13" w:name="_Hlk184373964"/>
            <w:r>
              <w:rPr>
                <w:rFonts w:hint="eastAsia" w:ascii="宋体" w:hAnsi="宋体" w:eastAsia="宋体" w:cs="宋体"/>
                <w:kern w:val="0"/>
                <w:sz w:val="24"/>
                <w:szCs w:val="24"/>
              </w:rPr>
              <w:t>实配≥2块1.92TB SATA SSD企业级固态硬盘</w:t>
            </w:r>
            <w:bookmarkEnd w:id="13"/>
            <w:r>
              <w:rPr>
                <w:rFonts w:hint="eastAsia" w:ascii="宋体" w:hAnsi="宋体" w:eastAsia="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338" w:type="pct"/>
            <w:tcBorders>
              <w:tl2br w:val="nil"/>
              <w:tr2bl w:val="nil"/>
            </w:tcBorders>
            <w:shd w:val="clear" w:color="auto" w:fill="auto"/>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492" w:type="pct"/>
            <w:vMerge w:val="restar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网卡&amp;电源</w:t>
            </w: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网卡要求</w:t>
            </w:r>
          </w:p>
        </w:tc>
        <w:tc>
          <w:tcPr>
            <w:tcW w:w="366" w:type="pct"/>
            <w:tcBorders>
              <w:tl2br w:val="nil"/>
              <w:tr2bl w:val="nil"/>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每台实配≥4口千兆以太网卡，实配≥2 个10G万兆光口，</w:t>
            </w:r>
            <w:bookmarkStart w:id="14" w:name="_Hlk184374021"/>
            <w:r>
              <w:rPr>
                <w:rFonts w:hint="eastAsia" w:ascii="宋体" w:hAnsi="宋体" w:eastAsia="宋体" w:cs="宋体"/>
                <w:kern w:val="0"/>
                <w:sz w:val="24"/>
                <w:szCs w:val="24"/>
              </w:rPr>
              <w:t>含满配多模光模块、光纤跳线</w:t>
            </w:r>
            <w:bookmarkEnd w:id="14"/>
            <w:r>
              <w:rPr>
                <w:rFonts w:hint="eastAsia" w:ascii="宋体" w:hAnsi="宋体" w:eastAsia="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338"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492" w:type="pct"/>
            <w:vMerge w:val="continue"/>
            <w:tcBorders>
              <w:tl2br w:val="nil"/>
              <w:tr2bl w:val="nil"/>
            </w:tcBorders>
            <w:shd w:val="clear" w:color="auto" w:fill="auto"/>
            <w:noWrap/>
            <w:vAlign w:val="center"/>
          </w:tcPr>
          <w:p>
            <w:pPr>
              <w:jc w:val="center"/>
              <w:rPr>
                <w:rFonts w:hint="eastAsia" w:ascii="宋体" w:hAnsi="宋体" w:eastAsia="宋体" w:cs="宋体"/>
                <w:kern w:val="0"/>
                <w:sz w:val="24"/>
                <w:szCs w:val="24"/>
              </w:rPr>
            </w:pP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电源要求</w:t>
            </w:r>
          </w:p>
        </w:tc>
        <w:tc>
          <w:tcPr>
            <w:tcW w:w="366" w:type="pct"/>
            <w:tcBorders>
              <w:tl2br w:val="nil"/>
              <w:tr2bl w:val="nil"/>
            </w:tcBorders>
            <w:vAlign w:val="center"/>
          </w:tcPr>
          <w:p>
            <w:pPr>
              <w:jc w:val="center"/>
              <w:rPr>
                <w:rFonts w:hint="eastAsia" w:ascii="宋体" w:hAnsi="宋体" w:eastAsia="宋体" w:cs="宋体"/>
                <w:sz w:val="24"/>
                <w:szCs w:val="24"/>
              </w:rPr>
            </w:pPr>
            <w:bookmarkStart w:id="15" w:name="_Hlk184374108"/>
            <w:r>
              <w:rPr>
                <w:rFonts w:hint="eastAsia" w:ascii="宋体" w:hAnsi="宋体" w:eastAsia="宋体" w:cs="宋体"/>
                <w:sz w:val="24"/>
                <w:szCs w:val="24"/>
              </w:rPr>
              <w:t>★</w:t>
            </w:r>
            <w:bookmarkEnd w:id="15"/>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每台实配80Plus 白金认证高效能热插拔 1+1 冗余电源，电源规格≥500W，设备附带机架安装导轨。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338"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492"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727"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366" w:type="pct"/>
            <w:tcBorders>
              <w:tl2br w:val="nil"/>
              <w:tr2bl w:val="nil"/>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w:t>
            </w:r>
          </w:p>
        </w:tc>
        <w:tc>
          <w:tcPr>
            <w:tcW w:w="3076" w:type="pct"/>
            <w:tcBorders>
              <w:tl2br w:val="nil"/>
              <w:tr2bl w:val="nil"/>
            </w:tcBorders>
            <w:shd w:val="clear" w:color="auto" w:fill="auto"/>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承诺满足财政部、工业和信息化部印发的《通用服务器政府采购需求标准（2023年版）》中所有标“*”的技术指标要求。</w:t>
            </w:r>
          </w:p>
        </w:tc>
      </w:tr>
    </w:tbl>
    <w:p>
      <w:pPr>
        <w:pStyle w:val="3"/>
        <w:spacing w:before="0" w:after="0" w:line="360" w:lineRule="auto"/>
        <w:rPr>
          <w:rFonts w:hint="eastAsia" w:ascii="宋体" w:hAnsi="宋体" w:eastAsia="宋体" w:cs="宋体"/>
          <w:b w:val="0"/>
          <w:sz w:val="24"/>
          <w:szCs w:val="24"/>
        </w:rPr>
      </w:pPr>
      <w:bookmarkStart w:id="16" w:name="_Toc1738178648"/>
      <w:bookmarkStart w:id="17" w:name="_Toc166139334"/>
    </w:p>
    <w:p>
      <w:pPr>
        <w:pStyle w:val="3"/>
        <w:spacing w:before="0" w:after="0" w:line="360" w:lineRule="auto"/>
        <w:rPr>
          <w:rFonts w:hint="eastAsia" w:ascii="宋体" w:hAnsi="宋体" w:eastAsia="宋体" w:cs="宋体"/>
          <w:b w:val="0"/>
          <w:sz w:val="24"/>
          <w:szCs w:val="24"/>
        </w:rPr>
      </w:pPr>
    </w:p>
    <w:p>
      <w:pPr>
        <w:pStyle w:val="3"/>
        <w:spacing w:before="0" w:after="0" w:line="360" w:lineRule="auto"/>
        <w:rPr>
          <w:rFonts w:hint="eastAsia" w:ascii="宋体" w:hAnsi="宋体" w:eastAsia="宋体" w:cs="宋体"/>
          <w:b w:val="0"/>
          <w:sz w:val="24"/>
          <w:szCs w:val="24"/>
        </w:rPr>
      </w:pPr>
      <w:r>
        <w:rPr>
          <w:rFonts w:hint="eastAsia" w:ascii="宋体" w:hAnsi="宋体" w:eastAsia="宋体" w:cs="宋体"/>
          <w:b w:val="0"/>
          <w:sz w:val="24"/>
          <w:szCs w:val="24"/>
        </w:rPr>
        <w:t>2.</w:t>
      </w:r>
      <w:bookmarkEnd w:id="16"/>
      <w:bookmarkStart w:id="18" w:name="_Hlk184374130"/>
      <w:r>
        <w:rPr>
          <w:rFonts w:hint="eastAsia" w:ascii="宋体" w:hAnsi="宋体" w:eastAsia="宋体" w:cs="宋体"/>
          <w:b w:val="0"/>
          <w:sz w:val="24"/>
          <w:szCs w:val="24"/>
        </w:rPr>
        <w:t>虚拟化软件系统</w:t>
      </w:r>
      <w:bookmarkEnd w:id="18"/>
    </w:p>
    <w:tbl>
      <w:tblPr>
        <w:tblStyle w:val="16"/>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6592"/>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19"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6592"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名称</w:t>
            </w:r>
          </w:p>
        </w:tc>
        <w:tc>
          <w:tcPr>
            <w:tcW w:w="1319" w:type="dxa"/>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数量（套）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19" w:type="dxa"/>
            <w:vAlign w:val="center"/>
          </w:tcPr>
          <w:p>
            <w:pPr>
              <w:jc w:val="center"/>
              <w:rPr>
                <w:rFonts w:hint="eastAsia" w:ascii="宋体" w:hAnsi="宋体" w:eastAsia="宋体" w:cs="宋体"/>
                <w:bCs/>
                <w:kern w:val="0"/>
                <w:sz w:val="24"/>
                <w:szCs w:val="24"/>
              </w:rPr>
            </w:pPr>
            <w:r>
              <w:rPr>
                <w:rFonts w:hint="eastAsia" w:ascii="宋体" w:hAnsi="宋体" w:eastAsia="宋体" w:cs="宋体"/>
                <w:bCs/>
                <w:kern w:val="0"/>
                <w:sz w:val="24"/>
                <w:szCs w:val="24"/>
              </w:rPr>
              <w:t>1</w:t>
            </w:r>
          </w:p>
        </w:tc>
        <w:tc>
          <w:tcPr>
            <w:tcW w:w="6592" w:type="dxa"/>
            <w:vAlign w:val="center"/>
          </w:tcPr>
          <w:p>
            <w:pPr>
              <w:jc w:val="center"/>
              <w:rPr>
                <w:rFonts w:hint="eastAsia" w:ascii="宋体" w:hAnsi="宋体" w:eastAsia="宋体" w:cs="宋体"/>
                <w:kern w:val="0"/>
                <w:sz w:val="24"/>
                <w:szCs w:val="24"/>
              </w:rPr>
            </w:pPr>
            <w:r>
              <w:rPr>
                <w:rFonts w:hint="eastAsia" w:ascii="宋体" w:hAnsi="宋体" w:eastAsia="宋体" w:cs="宋体"/>
                <w:color w:val="000000"/>
                <w:sz w:val="24"/>
                <w:szCs w:val="24"/>
              </w:rPr>
              <w:t>虚拟化软件系统</w:t>
            </w:r>
          </w:p>
        </w:tc>
        <w:tc>
          <w:tcPr>
            <w:tcW w:w="1319" w:type="dxa"/>
            <w:vAlign w:val="center"/>
          </w:tcPr>
          <w:p>
            <w:pPr>
              <w:jc w:val="center"/>
              <w:rPr>
                <w:rFonts w:hint="eastAsia" w:ascii="宋体" w:hAnsi="宋体" w:eastAsia="宋体" w:cs="宋体"/>
                <w:bCs/>
                <w:kern w:val="0"/>
                <w:sz w:val="24"/>
                <w:szCs w:val="24"/>
              </w:rPr>
            </w:pPr>
            <w:r>
              <w:rPr>
                <w:rFonts w:hint="eastAsia" w:ascii="宋体" w:hAnsi="宋体" w:eastAsia="宋体" w:cs="宋体"/>
                <w:bCs/>
                <w:kern w:val="0"/>
                <w:sz w:val="24"/>
                <w:szCs w:val="24"/>
              </w:rPr>
              <w:t>16</w:t>
            </w:r>
          </w:p>
        </w:tc>
      </w:tr>
    </w:tbl>
    <w:p>
      <w:pPr>
        <w:rPr>
          <w:rFonts w:hint="eastAsia" w:ascii="宋体" w:hAnsi="宋体" w:eastAsia="宋体" w:cs="宋体"/>
          <w:sz w:val="24"/>
          <w:szCs w:val="24"/>
        </w:rPr>
      </w:pPr>
    </w:p>
    <w:bookmarkEnd w:id="17"/>
    <w:tbl>
      <w:tblPr>
        <w:tblStyle w:val="15"/>
        <w:tblpPr w:leftFromText="180" w:rightFromText="180" w:vertAnchor="text" w:horzAnchor="page" w:tblpX="1260" w:tblpY="324"/>
        <w:tblOverlap w:val="never"/>
        <w:tblW w:w="563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084"/>
        <w:gridCol w:w="1000"/>
        <w:gridCol w:w="878"/>
        <w:gridCol w:w="5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blHeader/>
        </w:trPr>
        <w:tc>
          <w:tcPr>
            <w:tcW w:w="361" w:type="pct"/>
            <w:vMerge w:val="restart"/>
            <w:tcBorders>
              <w:tl2br w:val="nil"/>
              <w:tr2bl w:val="nil"/>
            </w:tcBorders>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1084" w:type="pct"/>
            <w:gridSpan w:val="2"/>
            <w:vMerge w:val="restart"/>
            <w:tcBorders>
              <w:tl2br w:val="nil"/>
              <w:tr2bl w:val="nil"/>
            </w:tcBorders>
            <w:shd w:val="clear" w:color="auto" w:fill="auto"/>
            <w:noWrap/>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技术参数</w:t>
            </w:r>
          </w:p>
        </w:tc>
        <w:tc>
          <w:tcPr>
            <w:tcW w:w="457" w:type="pct"/>
            <w:vMerge w:val="restart"/>
            <w:tcBorders>
              <w:tl2br w:val="nil"/>
              <w:tr2bl w:val="nil"/>
            </w:tcBorders>
            <w:shd w:val="clear" w:color="auto" w:fill="auto"/>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重要性</w:t>
            </w:r>
          </w:p>
        </w:tc>
        <w:tc>
          <w:tcPr>
            <w:tcW w:w="3098" w:type="pct"/>
            <w:vMerge w:val="restart"/>
            <w:tcBorders>
              <w:tl2br w:val="nil"/>
              <w:tr2bl w:val="nil"/>
            </w:tcBorders>
            <w:shd w:val="clear" w:color="auto" w:fill="auto"/>
            <w:noWrap/>
            <w:vAlign w:val="center"/>
          </w:tcPr>
          <w:p>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参数值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trPr>
        <w:tc>
          <w:tcPr>
            <w:tcW w:w="361" w:type="pct"/>
            <w:vMerge w:val="continue"/>
            <w:tcBorders>
              <w:tl2br w:val="nil"/>
              <w:tr2bl w:val="nil"/>
            </w:tcBorders>
            <w:shd w:val="clear" w:color="000000" w:fill="EBF1DE"/>
            <w:vAlign w:val="center"/>
          </w:tcPr>
          <w:p>
            <w:pPr>
              <w:jc w:val="center"/>
              <w:rPr>
                <w:rFonts w:hint="eastAsia" w:ascii="宋体" w:hAnsi="宋体" w:eastAsia="宋体" w:cs="宋体"/>
                <w:b/>
                <w:bCs/>
                <w:kern w:val="0"/>
                <w:sz w:val="24"/>
                <w:szCs w:val="24"/>
              </w:rPr>
            </w:pPr>
          </w:p>
        </w:tc>
        <w:tc>
          <w:tcPr>
            <w:tcW w:w="1084" w:type="pct"/>
            <w:gridSpan w:val="2"/>
            <w:vMerge w:val="continue"/>
            <w:tcBorders>
              <w:tl2br w:val="nil"/>
              <w:tr2bl w:val="nil"/>
            </w:tcBorders>
            <w:shd w:val="clear" w:color="000000" w:fill="EBF1DE"/>
            <w:noWrap/>
            <w:vAlign w:val="center"/>
          </w:tcPr>
          <w:p>
            <w:pPr>
              <w:jc w:val="center"/>
              <w:rPr>
                <w:rFonts w:hint="eastAsia" w:ascii="宋体" w:hAnsi="宋体" w:eastAsia="宋体" w:cs="宋体"/>
                <w:b/>
                <w:bCs/>
                <w:kern w:val="0"/>
                <w:sz w:val="24"/>
                <w:szCs w:val="24"/>
              </w:rPr>
            </w:pPr>
          </w:p>
        </w:tc>
        <w:tc>
          <w:tcPr>
            <w:tcW w:w="457" w:type="pct"/>
            <w:vMerge w:val="continue"/>
            <w:tcBorders>
              <w:tl2br w:val="nil"/>
              <w:tr2bl w:val="nil"/>
            </w:tcBorders>
            <w:shd w:val="clear" w:color="000000" w:fill="EBF1DE"/>
          </w:tcPr>
          <w:p>
            <w:pPr>
              <w:jc w:val="center"/>
              <w:rPr>
                <w:rFonts w:hint="eastAsia" w:ascii="宋体" w:hAnsi="宋体" w:eastAsia="宋体" w:cs="宋体"/>
                <w:b/>
                <w:bCs/>
                <w:kern w:val="0"/>
                <w:sz w:val="24"/>
                <w:szCs w:val="24"/>
              </w:rPr>
            </w:pPr>
          </w:p>
        </w:tc>
        <w:tc>
          <w:tcPr>
            <w:tcW w:w="3098" w:type="pct"/>
            <w:vMerge w:val="continue"/>
            <w:tcBorders>
              <w:tl2br w:val="nil"/>
              <w:tr2bl w:val="nil"/>
            </w:tcBorders>
            <w:shd w:val="clear" w:color="000000" w:fill="EBF1DE"/>
            <w:noWrap/>
            <w:vAlign w:val="center"/>
          </w:tcPr>
          <w:p>
            <w:pPr>
              <w:jc w:val="center"/>
              <w:rPr>
                <w:rFonts w:hint="eastAsia" w:ascii="宋体" w:hAnsi="宋体" w:eastAsia="宋体" w:cs="宋体"/>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564"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软件授权</w:t>
            </w:r>
          </w:p>
        </w:tc>
        <w:tc>
          <w:tcPr>
            <w:tcW w:w="519" w:type="pct"/>
            <w:tcBorders>
              <w:tl2br w:val="nil"/>
              <w:tr2bl w:val="nil"/>
            </w:tcBorders>
            <w:shd w:val="clear" w:color="auto" w:fill="auto"/>
            <w:noWrap/>
            <w:vAlign w:val="center"/>
          </w:tcPr>
          <w:p>
            <w:pPr>
              <w:jc w:val="left"/>
              <w:rPr>
                <w:rFonts w:hint="eastAsia" w:ascii="宋体" w:hAnsi="宋体" w:eastAsia="宋体" w:cs="宋体"/>
                <w:kern w:val="0"/>
                <w:sz w:val="24"/>
                <w:szCs w:val="24"/>
              </w:rPr>
            </w:pPr>
            <w:r>
              <w:rPr>
                <w:rFonts w:hint="eastAsia" w:ascii="宋体" w:hAnsi="宋体" w:eastAsia="宋体" w:cs="宋体"/>
                <w:kern w:val="0"/>
                <w:sz w:val="24"/>
                <w:szCs w:val="24"/>
              </w:rPr>
              <w:t>授权数量</w:t>
            </w:r>
          </w:p>
        </w:tc>
        <w:tc>
          <w:tcPr>
            <w:tcW w:w="457"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不少于16套计算虚拟化授权、不少于16套网络虚拟化授权、不少于16套存储虚拟化授权、不少于16套云管理平台授权。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564" w:type="pct"/>
            <w:tcBorders>
              <w:tl2br w:val="nil"/>
              <w:tr2bl w:val="nil"/>
            </w:tcBorders>
            <w:shd w:val="clear" w:color="auto" w:fill="auto"/>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软件扩展能力</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统一管理</w:t>
            </w:r>
          </w:p>
        </w:tc>
        <w:tc>
          <w:tcPr>
            <w:tcW w:w="457"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计算虚拟化、网络虚拟化、存储虚拟化、云管理平台为同一品牌，并可以支持扩展同一品牌的网络和安全虚拟化（虚拟应用防火墙、虚拟应用负载均衡等）等功能组件（模块化按需开通），以保障平台的扩展性和兼容性，并且与我校现有虚拟化平台统一界面管理。我校现有的虚拟化平台建设于2016年，硬件使用单存储连接服务器的方式，采用VMware软件进行虚拟机的整体管理和运维，目前运行虚拟机221台，存储容量152TB，物理机10台、核心数据库（4套oracle、2套mysql数据库分别为高可用架构）数据总量30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564" w:type="pct"/>
            <w:vMerge w:val="restar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数据库承载</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自动部署</w:t>
            </w:r>
          </w:p>
        </w:tc>
        <w:tc>
          <w:tcPr>
            <w:tcW w:w="457" w:type="pct"/>
            <w:tcBorders>
              <w:tl2br w:val="nil"/>
              <w:tr2bl w:val="nil"/>
            </w:tcBorders>
            <w:shd w:val="clear" w:color="auto" w:fill="auto"/>
            <w:vAlign w:val="center"/>
          </w:tcPr>
          <w:p>
            <w:pPr>
              <w:jc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支持平台上进行Oracle 11g/12c/19c的单机/RAC、MySQL 5.7/8.0的单机/主从、SQL Server 2012/2016/2019的单机/AlwaysOn、PostgreSQL 13的单机/主从等数据库版本和架构的自动化部署。</w:t>
            </w:r>
          </w:p>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自动化部署需要在单一流程中完成节点虚拟机创建、操作系统安装、数据库软件安装、数据库集群部署、数据库监听部署、数据库创建等所有步骤。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bookmarkStart w:id="19" w:name="_Toc1947764528"/>
            <w:r>
              <w:rPr>
                <w:rFonts w:hint="eastAsia" w:ascii="宋体" w:hAnsi="宋体" w:eastAsia="宋体" w:cs="宋体"/>
                <w:kern w:val="0"/>
                <w:sz w:val="24"/>
                <w:szCs w:val="24"/>
              </w:rPr>
              <w:t>4</w:t>
            </w:r>
          </w:p>
        </w:tc>
        <w:tc>
          <w:tcPr>
            <w:tcW w:w="564" w:type="pct"/>
            <w:vMerge w:val="continue"/>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故障自愈</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数据库单机和集群在出现严重故障的情况下，提供数据库故障自愈能力。根据故障原因自动进行故障进程拉起、集群服务修复、故障节点重启、故障节点异机拉起等自愈操作；对于集群架构，可以在自动修复故障节点后自动重新加回集群中以实现节点冗余度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5</w:t>
            </w:r>
          </w:p>
          <w:p>
            <w:pPr>
              <w:jc w:val="center"/>
              <w:rPr>
                <w:rFonts w:hint="eastAsia" w:ascii="宋体" w:hAnsi="宋体" w:eastAsia="宋体" w:cs="宋体"/>
                <w:kern w:val="0"/>
                <w:sz w:val="24"/>
                <w:szCs w:val="24"/>
              </w:rPr>
            </w:pPr>
          </w:p>
        </w:tc>
        <w:tc>
          <w:tcPr>
            <w:tcW w:w="564" w:type="pct"/>
            <w:vMerge w:val="continue"/>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周期备份</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支持对Oracle/MySQL/SQL Server/PostgreSQL等数据库进行自动的周期性备份，用户可根据需要制定备份周期，以及备份集保留时长。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564" w:type="pct"/>
            <w:vMerge w:val="continue"/>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连续备份</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支持结合数据库备份集、数据库快照、数据库事务日志等手段进行数据库连续备份，实现数据库备份集的时效性≤15分钟。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564" w:type="pct"/>
            <w:vMerge w:val="continue"/>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任意时间点恢复</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结合数据库快照和数据库事务日志，将数据库快速恢复到备份集有效窗口内的任意一秒。任意时间点恢复应能在单一流程中完整恢复包括虚拟机、操作系统、数据库集群、数据库实例、数据库数据等完整的架构，可恢复的时间窗口应不低于7天，恢复1TB大小的数据库集群耗时应不高于1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564" w:type="pc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便捷运维平台</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客户端要求</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可通过本地部署的代理对平台进行统一运维管理，并可按业务扩展需要，按需添加任一平台进行纳管运维监控，且不限所添加平台的数量。运维管理平台可通过本地部署的代理组件，对云平台的软硬件指标进行监控、检测和分析，并在智能运维平台输出相应告警信息，且可以及时同步到移动端应用小程序，用户可通过移动端小程序查看业务拨测情况以及用户资源（包括云主机、服务器、资源池）的监控指标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564" w:type="pc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开发平台</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专业设备兼容性</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嵌入式开发、手机开发与其他硬件开发场景，所投产品应支持常见的开发板、仿真器等嵌入式开发设备，如J-Link仿真器、ST-Link仿真器、Xilinx仿真器等，支持安卓设备、鸿蒙设备开发，如手机、平板等安卓与鸿蒙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564" w:type="pc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数据迁移</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双向迁移</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支持双向迁移操作，可将我校现有VMware虚拟机迁移到此次采购的平台上，也可将平台上的虚拟机迁移到VMware vCenter的集群中，迁移结束后的虚拟机可进行手动或自动重启操作；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11</w:t>
            </w:r>
          </w:p>
        </w:tc>
        <w:tc>
          <w:tcPr>
            <w:tcW w:w="564" w:type="pc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高可用</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故障检测敏感度设置</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支持对虚拟机的故障检测敏感度进行设置，包括高、中、低等检测敏感度的设置，支持对故障类型的设置，包括对业务口故障进行HA开关设置、虚拟机所在存储故障启用HA设置；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12</w:t>
            </w:r>
          </w:p>
        </w:tc>
        <w:tc>
          <w:tcPr>
            <w:tcW w:w="564" w:type="pc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虚拟机操作</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克隆虚拟机</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支持选择多种克隆方式，包括快速全量克隆、全量克隆和链接克隆，可查看通过链接克隆的虚拟机是否运行正常，可以设置克隆完成后自动启动克隆虚拟机操作；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13</w:t>
            </w:r>
          </w:p>
        </w:tc>
        <w:tc>
          <w:tcPr>
            <w:tcW w:w="564" w:type="pc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存储虚拟化</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故障数据重建</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支持进行数据重建操作，重建速率达到30分钟/TB；重建过程中可以查看数据重建任务列表信息，包括对象名称、对象类型、数据量和优先级等；支持点击操作中的优先级对数据重建进行优先重建；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14</w:t>
            </w:r>
          </w:p>
        </w:tc>
        <w:tc>
          <w:tcPr>
            <w:tcW w:w="564" w:type="pct"/>
            <w:vMerge w:val="restart"/>
            <w:tcBorders>
              <w:tl2br w:val="nil"/>
              <w:tr2bl w:val="nil"/>
            </w:tcBorders>
            <w:shd w:val="clear" w:color="auto" w:fill="auto"/>
            <w:noWrap/>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平台安全</w:t>
            </w:r>
          </w:p>
        </w:tc>
        <w:tc>
          <w:tcPr>
            <w:tcW w:w="519" w:type="pct"/>
            <w:tcBorders>
              <w:tl2br w:val="nil"/>
              <w:tr2bl w:val="nil"/>
            </w:tcBorders>
            <w:shd w:val="clear" w:color="auto" w:fill="auto"/>
            <w:noWrap/>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安全风险分析</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提供一站式工作台展示云上资产安全防护情况展示，包括安全风险分布，以及病毒、攻击、漏洞等风险的TOP 5云主机，支持安全事件展示、安全风险分析、风险趋势分析、告警与处置记录、病毒和漏洞扫描记录，并实施监控虚拟机的防护状态。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15</w:t>
            </w:r>
          </w:p>
        </w:tc>
        <w:tc>
          <w:tcPr>
            <w:tcW w:w="564" w:type="pct"/>
            <w:vMerge w:val="continue"/>
            <w:tcBorders>
              <w:tl2br w:val="nil"/>
              <w:tr2bl w:val="nil"/>
            </w:tcBorders>
            <w:shd w:val="clear" w:color="auto" w:fill="auto"/>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勒索病毒处理</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提供可靠的向导化勒索病毒处理流程，包括紧急隔离、保留当前状态、恢复云主机、扫描病毒、恢复网络。并支持事前勒索病毒防护、事中检测疑似勒索可打自动对虚拟机打快照、事后勒索病毒向导化处理；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16</w:t>
            </w:r>
          </w:p>
        </w:tc>
        <w:tc>
          <w:tcPr>
            <w:tcW w:w="564" w:type="pct"/>
            <w:vMerge w:val="continue"/>
            <w:tcBorders>
              <w:tl2br w:val="nil"/>
              <w:tr2bl w:val="nil"/>
            </w:tcBorders>
            <w:shd w:val="clear" w:color="auto" w:fill="auto"/>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漏洞扫描修复</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支持对虚拟机漏洞情况进行扫描，查看漏洞详情并恢复。包括检测时间、检测来源、解决建议、修复流程等。并可以扫描出的漏洞修复能力。支持在虚拟机安装性能优化工具时自动安装组件功能对操作系统进行安全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17</w:t>
            </w:r>
          </w:p>
        </w:tc>
        <w:tc>
          <w:tcPr>
            <w:tcW w:w="564" w:type="pct"/>
            <w:vMerge w:val="continue"/>
            <w:tcBorders>
              <w:tl2br w:val="nil"/>
              <w:tr2bl w:val="nil"/>
            </w:tcBorders>
            <w:shd w:val="clear" w:color="auto" w:fill="auto"/>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防爆破</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防暴力破解，统计单个攻击源及分布式攻击源的暴力破解检测，支持按照RDP、SMB和SSH类型进行封堵并自定义爆破阈值，可对封停时间进行自设置，支持展示终端检测到的暴力破解事件及事件详情，包括：攻击源、攻击类型、最后攻击时间，支持与同厂商安全情报中心协同响应，关联在线数十万台安全设备的云反馈威胁情报数据，以及第三方合作伙伴交换的威胁情报数据，智能分析，精准下发威胁情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18</w:t>
            </w:r>
          </w:p>
        </w:tc>
        <w:tc>
          <w:tcPr>
            <w:tcW w:w="564" w:type="pct"/>
            <w:vMerge w:val="continue"/>
            <w:tcBorders>
              <w:tl2br w:val="nil"/>
              <w:tr2bl w:val="nil"/>
            </w:tcBorders>
            <w:shd w:val="clear" w:color="auto" w:fill="auto"/>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批量防护</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支持以虚拟机为粒度，对指定虚拟机、批量虚拟机、指定IP、指定IP范围开启网络防护功能，且不因IP地址变更或迁移等情况导致安全能力失效。支持为租户VPC网络配置网络攻击防护策略。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19</w:t>
            </w:r>
          </w:p>
        </w:tc>
        <w:tc>
          <w:tcPr>
            <w:tcW w:w="564" w:type="pct"/>
            <w:vMerge w:val="continue"/>
            <w:tcBorders>
              <w:tl2br w:val="nil"/>
              <w:tr2bl w:val="nil"/>
            </w:tcBorders>
            <w:shd w:val="clear" w:color="auto" w:fill="auto"/>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虚拟补丁防护</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支持虚拟补丁能力，可以在主机操作系统不打补丁的情况下直接在网络层对指定虚拟机开启虚拟补丁防护。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564" w:type="pct"/>
            <w:vMerge w:val="restart"/>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网络虚拟化</w:t>
            </w: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云内拓扑</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支持图形化管理平台上，通过托、拉、拽方式完成虚拟网络拓扑创建，能够通过同一界面中的功能按键，实现虚拟网络连接、开启和关闭等操作。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21</w:t>
            </w:r>
          </w:p>
        </w:tc>
        <w:tc>
          <w:tcPr>
            <w:tcW w:w="564" w:type="pct"/>
            <w:vMerge w:val="continue"/>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云内网络可视化</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支持网络可视化功能，在图形化界面观察到所有虚拟机的流量走向与访问关系，包括源对象、源IP、目标对象、目的IP、访问次数、服务类型等信息。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22</w:t>
            </w:r>
          </w:p>
        </w:tc>
        <w:tc>
          <w:tcPr>
            <w:tcW w:w="564" w:type="pct"/>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数据保护</w:t>
            </w: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持续数据保护</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支持平台级别无代理持续数据保护CDP、本地备份、异地容灾、云容灾等高可用服务，当主平台发生故障时，能够切换到备平台保障云平台稳定运行。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23</w:t>
            </w:r>
          </w:p>
        </w:tc>
        <w:tc>
          <w:tcPr>
            <w:tcW w:w="564" w:type="pct"/>
            <w:vMerge w:val="restart"/>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存储高级功能</w:t>
            </w: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存储容量预测功能</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支持平台分布式存储容量预测功能，可以在界面查看虚拟存储容量预测信息，通过折线图展示不同时间点存储卷有效裸容量、实际容量的使用、未来预测和告警阈值等信息。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24</w:t>
            </w:r>
          </w:p>
        </w:tc>
        <w:tc>
          <w:tcPr>
            <w:tcW w:w="564" w:type="pct"/>
            <w:vMerge w:val="continue"/>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物理硬盘寿命预测功能</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支持物理硬盘寿命预测功能，可以查看磁盘寿命页面列表项信息，包括硬盘名称、剩余寿命、预计剩余可用时长和寿命风险。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25</w:t>
            </w:r>
          </w:p>
        </w:tc>
        <w:tc>
          <w:tcPr>
            <w:tcW w:w="564" w:type="pct"/>
            <w:vMerge w:val="continue"/>
            <w:tcBorders>
              <w:tl2br w:val="nil"/>
              <w:tr2bl w:val="nil"/>
            </w:tcBorders>
            <w:shd w:val="clear" w:color="auto" w:fill="auto"/>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磁盘自动隔离并重建数据</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支持物理硬盘卡慢磁盘自动隔离并重建数据，在界面提示告警信息及磁盘隔离原因。当服务器硬件出现SSD卡盘或HDD卡慢盘时，可以在磁盘管理界面显示并告警对应硬盘，并对SSD卡盘或HDD的卡盘慢盘进行自动隔离。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26</w:t>
            </w:r>
          </w:p>
        </w:tc>
        <w:tc>
          <w:tcPr>
            <w:tcW w:w="564" w:type="pct"/>
            <w:vMerge w:val="continue"/>
            <w:tcBorders>
              <w:tl2br w:val="nil"/>
              <w:tr2bl w:val="nil"/>
            </w:tcBorders>
            <w:shd w:val="clear" w:color="auto" w:fill="auto"/>
          </w:tcPr>
          <w:p>
            <w:pPr>
              <w:autoSpaceDE w:val="0"/>
              <w:autoSpaceDN w:val="0"/>
              <w:adjustRightInd w:val="0"/>
              <w:jc w:val="left"/>
              <w:rPr>
                <w:rFonts w:hint="eastAsia" w:ascii="宋体" w:hAnsi="宋体" w:eastAsia="宋体" w:cs="宋体"/>
                <w:kern w:val="0"/>
                <w:sz w:val="24"/>
                <w:szCs w:val="24"/>
              </w:rPr>
            </w:pP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物理磁盘坏道预测</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支持物理磁盘坏道预测，设置定时坏道扫描进行磁盘修复和坏道预测，可以在界面查看磁盘坏道预测信息，如坏道预测、坏道扫描和坏道数据修复，并支持查看磁盘坏道列表。支持主动将亚健康硬盘数据进行迁移，当硬盘的坏道数过多，系统能够自动将该盘的数据迁移至其他健康硬盘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27</w:t>
            </w:r>
          </w:p>
        </w:tc>
        <w:tc>
          <w:tcPr>
            <w:tcW w:w="564" w:type="pct"/>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迁移功能</w:t>
            </w: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迁移工具</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需要提供同品牌自研的迁移工具无需采购第三方迁移服务，支持原主机和异构目标机之间的自动化迁移功能；迁移过程中对源机业务影响小，可动态调整源机IO占用、网络带宽占用，确保迁移过程不影响源主机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28</w:t>
            </w:r>
          </w:p>
        </w:tc>
        <w:tc>
          <w:tcPr>
            <w:tcW w:w="564" w:type="pct"/>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容灾功能</w:t>
            </w: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灾备重建</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提供整体灾备重建迁移，支持任意秒历史点回退切换，确保迁移到正常系统状态；支持在线增量迁移、全量迁移，且是迁移期间不中断业务的热迁移。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29</w:t>
            </w:r>
          </w:p>
        </w:tc>
        <w:tc>
          <w:tcPr>
            <w:tcW w:w="564" w:type="pct"/>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多平台纳管</w:t>
            </w: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VMware集群统一纳管</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我校现有的虚拟化平台建设于2016年，硬件使用单存储连接服务器的方式，采用VMware软件进行虚拟机的整体管理和运维，目前运行虚拟机221台，存储容量152TB，物理机10台、核心数据库（4套oracle、2套mysql数据库分别为高可用架构）数据总量30TB。支持我校现有VMware集群进行统一纳管，对VMware平台虚拟机进行新建、删除、编辑、开关机、分配到租户、远程登录控制台等操作；并且支持对VMware资源进行计量计费、租户划分、工单审批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61" w:type="pct"/>
            <w:tcBorders>
              <w:tl2br w:val="nil"/>
              <w:tr2bl w:val="nil"/>
            </w:tcBorders>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30</w:t>
            </w:r>
          </w:p>
        </w:tc>
        <w:tc>
          <w:tcPr>
            <w:tcW w:w="564" w:type="pct"/>
            <w:tcBorders>
              <w:tl2br w:val="nil"/>
              <w:tr2bl w:val="nil"/>
            </w:tcBorders>
            <w:shd w:val="clear" w:color="auto" w:fill="auto"/>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sz w:val="24"/>
                <w:szCs w:val="24"/>
              </w:rPr>
              <w:t>定制要求</w:t>
            </w:r>
          </w:p>
        </w:tc>
        <w:tc>
          <w:tcPr>
            <w:tcW w:w="519" w:type="pct"/>
            <w:tcBorders>
              <w:tl2br w:val="nil"/>
              <w:tr2bl w:val="nil"/>
            </w:tcBorders>
            <w:vAlign w:val="center"/>
          </w:tcPr>
          <w:p>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sz w:val="24"/>
                <w:szCs w:val="24"/>
              </w:rPr>
              <w:t>定制要求</w:t>
            </w:r>
          </w:p>
        </w:tc>
        <w:tc>
          <w:tcPr>
            <w:tcW w:w="457" w:type="pct"/>
            <w:tcBorders>
              <w:tl2br w:val="nil"/>
              <w:tr2bl w:val="nil"/>
            </w:tcBorders>
            <w:shd w:val="clear" w:color="auto" w:fill="auto"/>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w:t>
            </w:r>
          </w:p>
        </w:tc>
        <w:tc>
          <w:tcPr>
            <w:tcW w:w="3098" w:type="pct"/>
            <w:tcBorders>
              <w:tl2br w:val="nil"/>
              <w:tr2bl w:val="nil"/>
            </w:tcBorders>
            <w:shd w:val="clear" w:color="auto" w:fill="auto"/>
            <w:vAlign w:val="center"/>
          </w:tcPr>
          <w:p>
            <w:pPr>
              <w:adjustRightInd w:val="0"/>
              <w:snapToGrid w:val="0"/>
              <w:textAlignment w:val="baseline"/>
              <w:rPr>
                <w:rFonts w:hint="eastAsia" w:ascii="宋体" w:hAnsi="宋体" w:eastAsia="宋体" w:cs="宋体"/>
                <w:kern w:val="0"/>
                <w:sz w:val="24"/>
                <w:szCs w:val="24"/>
              </w:rPr>
            </w:pPr>
            <w:bookmarkStart w:id="20" w:name="_Hlk184374495"/>
            <w:r>
              <w:rPr>
                <w:rFonts w:hint="eastAsia" w:ascii="宋体" w:hAnsi="宋体" w:eastAsia="宋体" w:cs="宋体"/>
                <w:kern w:val="0"/>
                <w:sz w:val="24"/>
                <w:szCs w:val="24"/>
              </w:rPr>
              <w:t xml:space="preserve"> </w:t>
            </w:r>
            <w:bookmarkStart w:id="21" w:name="_Hlk184374162"/>
            <w:r>
              <w:rPr>
                <w:rFonts w:hint="eastAsia" w:ascii="宋体" w:hAnsi="宋体" w:eastAsia="宋体" w:cs="宋体"/>
                <w:kern w:val="0"/>
                <w:sz w:val="24"/>
                <w:szCs w:val="24"/>
              </w:rPr>
              <w:t>供应商需提供加盖公章的承诺函</w:t>
            </w:r>
            <w:bookmarkEnd w:id="20"/>
            <w:r>
              <w:rPr>
                <w:rFonts w:hint="eastAsia" w:ascii="宋体" w:hAnsi="宋体" w:eastAsia="宋体" w:cs="宋体"/>
                <w:kern w:val="0"/>
                <w:sz w:val="24"/>
                <w:szCs w:val="24"/>
              </w:rPr>
              <w:t>：</w:t>
            </w:r>
            <w:bookmarkEnd w:id="21"/>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供应商需要根据需求提供定制开发服务，定制内容包括：统一平台管理，管理所有计算资源（CPU、内存）、存储资源（统一分布式存储，不接受通过多卷聚合方式提供统一管理，所有存储空间可在1个虚拟存储卷内调用，空间容量与采购数量一致）、平台资源（平台虚拟机、平台计量计费、监控告警）等满足资源统一管理的要求。定制方式：不接受通过WEB网页跳转或多次登录实现的资源统一，所有资源从物理层（服务器、交换机）、逻辑层（计算虚拟化、存储虚拟化）均保持一致。定制时间要求：同货物交付时间。</w:t>
            </w:r>
          </w:p>
          <w:p>
            <w:pPr>
              <w:autoSpaceDE w:val="0"/>
              <w:autoSpaceDN w:val="0"/>
              <w:adjustRightInd w:val="0"/>
              <w:jc w:val="left"/>
              <w:rPr>
                <w:rFonts w:hint="eastAsia" w:ascii="宋体" w:hAnsi="宋体" w:eastAsia="宋体" w:cs="宋体"/>
                <w:kern w:val="0"/>
                <w:sz w:val="24"/>
                <w:szCs w:val="24"/>
              </w:rPr>
            </w:pPr>
            <w:r>
              <w:rPr>
                <w:rFonts w:hint="eastAsia" w:ascii="宋体" w:hAnsi="宋体" w:eastAsia="宋体" w:cs="宋体"/>
                <w:kern w:val="0"/>
                <w:sz w:val="24"/>
                <w:szCs w:val="24"/>
              </w:rPr>
              <w:t>2、供应商需要根据虚拟化平台的监控运维需求提供相应定制开发服务，定制内容包括：开发智能运维管理平台帮助运维管理员第一时间监控平台并感知风险，对软硬件指标进行监控、检测和分析，并在智能运维平台输出相应告警信息，且可以及时同步到移动端应用小程序（微信小程序客户端），运维管理员可通过移动端小程序查看用户资源（包括云主机、服务器、资源池）的监控指标信息。提供对关键对外业务提供线上业务检测能力，对校内关键网站群提供秒级检测，并且可以与移动客户端小程序进行联动，提供整体监控指标，提高运维效率。定制时间要求：同货物交付时间。</w:t>
            </w:r>
          </w:p>
        </w:tc>
      </w:tr>
    </w:tbl>
    <w:p>
      <w:pPr>
        <w:pStyle w:val="2"/>
        <w:spacing w:before="0" w:after="0" w:line="360" w:lineRule="auto"/>
        <w:rPr>
          <w:rFonts w:hint="eastAsia" w:ascii="黑体" w:hAnsi="黑体" w:eastAsia="黑体" w:cs="黑体"/>
          <w:b w:val="0"/>
          <w:sz w:val="24"/>
          <w:szCs w:val="24"/>
        </w:rPr>
      </w:pPr>
      <w:r>
        <w:rPr>
          <w:rFonts w:hint="eastAsia" w:ascii="黑体" w:hAnsi="黑体" w:eastAsia="黑体" w:cs="黑体"/>
          <w:b w:val="0"/>
          <w:sz w:val="24"/>
          <w:szCs w:val="24"/>
        </w:rPr>
        <w:t>二、交付需求</w:t>
      </w:r>
      <w:bookmarkEnd w:id="19"/>
    </w:p>
    <w:p>
      <w:pPr>
        <w:ind w:firstLine="480" w:firstLineChars="200"/>
        <w:rPr>
          <w:rFonts w:hint="eastAsia" w:ascii="宋体" w:hAnsi="宋体" w:eastAsia="宋体" w:cs="宋体"/>
          <w:color w:val="000000"/>
          <w:kern w:val="0"/>
          <w:sz w:val="24"/>
          <w:szCs w:val="24"/>
          <w:lang w:bidi="ar"/>
        </w:rPr>
      </w:pPr>
      <w:bookmarkStart w:id="22" w:name="_Toc691954735"/>
      <w:r>
        <w:rPr>
          <w:rFonts w:hint="eastAsia" w:ascii="宋体" w:hAnsi="宋体" w:eastAsia="宋体" w:cs="宋体"/>
          <w:color w:val="000000"/>
          <w:kern w:val="0"/>
          <w:sz w:val="24"/>
          <w:szCs w:val="24"/>
          <w:lang w:bidi="ar"/>
        </w:rPr>
        <w:t>交货时需提供所投产品的原厂售后服务承诺函原件、所投硬件产品合格证、所投软硬件产品货物使用说明书。</w:t>
      </w:r>
    </w:p>
    <w:p>
      <w:pPr>
        <w:pStyle w:val="2"/>
        <w:spacing w:before="0" w:after="0" w:line="360" w:lineRule="auto"/>
        <w:rPr>
          <w:rFonts w:hint="eastAsia" w:ascii="黑体" w:hAnsi="黑体" w:eastAsia="黑体" w:cs="黑体"/>
          <w:b w:val="0"/>
          <w:sz w:val="24"/>
          <w:szCs w:val="24"/>
        </w:rPr>
      </w:pPr>
      <w:r>
        <w:rPr>
          <w:rFonts w:hint="eastAsia" w:ascii="黑体" w:hAnsi="黑体" w:eastAsia="黑体" w:cs="黑体"/>
          <w:b w:val="0"/>
          <w:sz w:val="24"/>
          <w:szCs w:val="24"/>
        </w:rPr>
        <w:t>三、时间需求</w:t>
      </w:r>
      <w:bookmarkEnd w:id="22"/>
    </w:p>
    <w:p>
      <w:pPr>
        <w:ind w:firstLine="480" w:firstLineChars="200"/>
        <w:rPr>
          <w:rFonts w:hint="eastAsia" w:ascii="宋体" w:hAnsi="宋体" w:eastAsia="宋体" w:cs="宋体"/>
          <w:color w:val="000000"/>
          <w:kern w:val="1"/>
          <w:sz w:val="24"/>
          <w:szCs w:val="24"/>
        </w:rPr>
      </w:pPr>
      <w:r>
        <w:rPr>
          <w:rStyle w:val="45"/>
          <w:rFonts w:hint="eastAsia" w:ascii="宋体" w:hAnsi="宋体" w:cs="宋体"/>
          <w:color w:val="000000"/>
          <w:lang w:bidi="ar"/>
        </w:rPr>
        <w:t>签订合同后5日内完成设备到货，签订合同后7日内完成项目部署并通过项目初验，经建设单位同意后开始试运行，试运行</w:t>
      </w:r>
      <w:r>
        <w:rPr>
          <w:rStyle w:val="45"/>
          <w:rFonts w:hint="eastAsia" w:ascii="宋体" w:hAnsi="宋体" w:eastAsia="宋体" w:cs="宋体"/>
          <w:color w:val="000000"/>
          <w:lang w:val="en-US" w:eastAsia="zh-CN" w:bidi="ar"/>
        </w:rPr>
        <w:t>30日</w:t>
      </w:r>
      <w:bookmarkStart w:id="28" w:name="_GoBack"/>
      <w:bookmarkEnd w:id="28"/>
      <w:r>
        <w:rPr>
          <w:rStyle w:val="45"/>
          <w:rFonts w:hint="eastAsia" w:ascii="宋体" w:hAnsi="宋体" w:cs="宋体"/>
          <w:color w:val="000000"/>
          <w:lang w:bidi="ar"/>
        </w:rPr>
        <w:t>经采购人确认合格后，正式验收。采购人验收时，如发现供应商提供的产品和服务不符合本项目招标文件要求或其投标文件承诺，</w:t>
      </w:r>
      <w:r>
        <w:rPr>
          <w:rFonts w:hint="eastAsia" w:ascii="宋体" w:hAnsi="宋体" w:eastAsia="宋体" w:cs="宋体"/>
          <w:kern w:val="0"/>
          <w:sz w:val="24"/>
          <w:szCs w:val="24"/>
        </w:rPr>
        <w:t>则要求供应商限期整改；如整改后仍未符合要求，采购人有权终止合同、报财政部门依法处理，供应商承担相应责任。</w:t>
      </w:r>
    </w:p>
    <w:p>
      <w:pPr>
        <w:ind w:firstLine="480" w:firstLineChars="200"/>
        <w:rPr>
          <w:rFonts w:hint="eastAsia" w:ascii="宋体" w:hAnsi="宋体" w:eastAsia="宋体" w:cs="宋体"/>
          <w:kern w:val="0"/>
          <w:sz w:val="24"/>
          <w:szCs w:val="24"/>
          <w:lang w:val="zh-CN"/>
        </w:rPr>
      </w:pPr>
      <w:r>
        <w:rPr>
          <w:rStyle w:val="45"/>
          <w:rFonts w:hint="eastAsia" w:ascii="宋体" w:hAnsi="宋体" w:cs="宋体"/>
          <w:color w:val="000000"/>
          <w:lang w:bidi="ar"/>
        </w:rPr>
        <w:t>交货地点：北京市海淀区增光路45号中国劳动关系学院。</w:t>
      </w:r>
    </w:p>
    <w:p>
      <w:pPr>
        <w:pStyle w:val="2"/>
        <w:spacing w:before="0" w:after="0" w:line="360" w:lineRule="auto"/>
        <w:rPr>
          <w:rFonts w:hint="eastAsia" w:ascii="黑体" w:hAnsi="黑体" w:eastAsia="黑体" w:cs="黑体"/>
          <w:b w:val="0"/>
          <w:sz w:val="24"/>
          <w:szCs w:val="24"/>
        </w:rPr>
      </w:pPr>
      <w:r>
        <w:rPr>
          <w:rFonts w:hint="eastAsia" w:ascii="黑体" w:hAnsi="黑体" w:eastAsia="黑体" w:cs="黑体"/>
          <w:b w:val="0"/>
          <w:sz w:val="24"/>
          <w:szCs w:val="24"/>
        </w:rPr>
        <w:t>四、实施方案</w:t>
      </w:r>
    </w:p>
    <w:tbl>
      <w:tblPr>
        <w:tblStyle w:val="15"/>
        <w:tblW w:w="52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1016"/>
        <w:gridCol w:w="5671"/>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495" w:type="pct"/>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572" w:type="pct"/>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内容</w:t>
            </w:r>
          </w:p>
        </w:tc>
        <w:tc>
          <w:tcPr>
            <w:tcW w:w="3194" w:type="pct"/>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实施标准</w:t>
            </w:r>
          </w:p>
        </w:tc>
        <w:tc>
          <w:tcPr>
            <w:tcW w:w="739" w:type="pct"/>
            <w:vAlign w:val="center"/>
          </w:tcPr>
          <w:p>
            <w:pPr>
              <w:adjustRightInd w:val="0"/>
              <w:snapToGrid w:val="0"/>
              <w:jc w:val="center"/>
              <w:rPr>
                <w:rFonts w:hint="eastAsia" w:ascii="宋体" w:hAnsi="宋体" w:eastAsia="宋体" w:cs="宋体"/>
                <w:b/>
                <w:bCs/>
                <w:sz w:val="24"/>
                <w:szCs w:val="24"/>
              </w:rPr>
            </w:pPr>
            <w:r>
              <w:rPr>
                <w:rFonts w:hint="eastAsia" w:ascii="宋体" w:hAnsi="宋体" w:eastAsia="宋体" w:cs="宋体"/>
                <w:b/>
                <w:bCs/>
                <w:sz w:val="24"/>
                <w:szCs w:val="24"/>
              </w:rPr>
              <w:t>响应</w:t>
            </w:r>
          </w:p>
          <w:p>
            <w:pPr>
              <w:adjustRightInd w:val="0"/>
              <w:snapToGrid w:val="0"/>
              <w:jc w:val="center"/>
              <w:rPr>
                <w:rFonts w:hint="eastAsia" w:ascii="宋体" w:hAnsi="宋体" w:eastAsia="宋体" w:cs="宋体"/>
                <w:b/>
                <w:sz w:val="24"/>
                <w:szCs w:val="24"/>
              </w:rPr>
            </w:pPr>
            <w:r>
              <w:rPr>
                <w:rFonts w:hint="eastAsia" w:ascii="宋体" w:hAnsi="宋体" w:eastAsia="宋体" w:cs="宋体"/>
                <w:b/>
                <w:bCs/>
                <w:sz w:val="24"/>
                <w:szCs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1</w:t>
            </w:r>
          </w:p>
        </w:tc>
        <w:tc>
          <w:tcPr>
            <w:tcW w:w="572"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项目实施</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过程控制</w:t>
            </w:r>
          </w:p>
        </w:tc>
        <w:tc>
          <w:tcPr>
            <w:tcW w:w="3194" w:type="pct"/>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供应商应具有有效的过程控制管理手段和风险控制措施，对项目建设实施全过程进行管理。</w:t>
            </w:r>
          </w:p>
        </w:tc>
        <w:tc>
          <w:tcPr>
            <w:tcW w:w="739"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2</w:t>
            </w:r>
          </w:p>
        </w:tc>
        <w:tc>
          <w:tcPr>
            <w:tcW w:w="572"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项目实施</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过程</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文档管理</w:t>
            </w:r>
          </w:p>
        </w:tc>
        <w:tc>
          <w:tcPr>
            <w:tcW w:w="3194" w:type="pct"/>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供应商应具有完整的过程文档，文档包括不限于实施过程文件、安装手册、用户手册、系统管理手册、实施安装调试技术文档、培训文档等。</w:t>
            </w:r>
          </w:p>
        </w:tc>
        <w:tc>
          <w:tcPr>
            <w:tcW w:w="739"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3</w:t>
            </w:r>
          </w:p>
        </w:tc>
        <w:tc>
          <w:tcPr>
            <w:tcW w:w="572"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项目实施</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组织架构</w:t>
            </w:r>
          </w:p>
        </w:tc>
        <w:tc>
          <w:tcPr>
            <w:tcW w:w="3194" w:type="pct"/>
            <w:shd w:val="clear" w:color="auto" w:fill="auto"/>
            <w:vAlign w:val="center"/>
          </w:tcPr>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项目组具备合理的组织架构，建立健全保障项目顺利实施的组织部门，明确部门工作内容及职责。</w:t>
            </w:r>
          </w:p>
        </w:tc>
        <w:tc>
          <w:tcPr>
            <w:tcW w:w="739"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bCs/>
                <w:kern w:val="0"/>
                <w:sz w:val="24"/>
                <w:szCs w:val="24"/>
              </w:rPr>
              <w:t>提供组织架构及管理方案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4</w:t>
            </w:r>
          </w:p>
        </w:tc>
        <w:tc>
          <w:tcPr>
            <w:tcW w:w="572"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项目实施</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过程安排</w:t>
            </w:r>
          </w:p>
        </w:tc>
        <w:tc>
          <w:tcPr>
            <w:tcW w:w="3194" w:type="pct"/>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项目实施工作安排科学有序、任务清晰，任务进度规划合理，能够按照以下目标时间完成：</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1、合同签订后2</w:t>
            </w:r>
            <w:r>
              <w:rPr>
                <w:rFonts w:hint="eastAsia" w:ascii="宋体" w:hAnsi="宋体" w:eastAsia="宋体" w:cs="宋体"/>
                <w:sz w:val="24"/>
                <w:szCs w:val="24"/>
                <w:lang w:eastAsia="zh-CN"/>
              </w:rPr>
              <w:t>日</w:t>
            </w:r>
            <w:r>
              <w:rPr>
                <w:rFonts w:hint="eastAsia" w:ascii="宋体" w:hAnsi="宋体" w:eastAsia="宋体" w:cs="宋体"/>
                <w:sz w:val="24"/>
                <w:szCs w:val="24"/>
              </w:rPr>
              <w:t>内，提交项目实施规划方案。</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2、签订合同后5日内完成设备到货，签订合同后7日内完成项目部署并通过项目初验，经建设单位同意后开始试运行，试运行时间不低于30日。</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3、正式验收：试运行结束后，项目正式验收，并递交所有交付材料。</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需提供详细过程安排，包括项目设计及安装实施步骤，实施流程步骤应步骤清晰、方法明确，安排合理。</w:t>
            </w:r>
            <w:r>
              <w:rPr>
                <w:rFonts w:ascii="宋体" w:hAnsi="宋体" w:eastAsia="宋体" w:cs="宋体"/>
                <w:sz w:val="24"/>
                <w:szCs w:val="24"/>
              </w:rPr>
              <w:t>严格按照实施计划进行项目实施和监督工作，进度计划受阻或有变化时，应及时与</w:t>
            </w:r>
            <w:r>
              <w:rPr>
                <w:rFonts w:hint="eastAsia" w:ascii="宋体" w:hAnsi="宋体" w:eastAsia="宋体" w:cs="宋体"/>
                <w:sz w:val="24"/>
                <w:szCs w:val="24"/>
              </w:rPr>
              <w:t>采购人</w:t>
            </w:r>
            <w:r>
              <w:rPr>
                <w:rFonts w:ascii="宋体" w:hAnsi="宋体" w:eastAsia="宋体" w:cs="宋体"/>
                <w:sz w:val="24"/>
                <w:szCs w:val="24"/>
              </w:rPr>
              <w:t>沟通，且采取调整措施；项目实施过程控制应具体落实到执行人、目标、任务、检查方法。</w:t>
            </w:r>
          </w:p>
        </w:tc>
        <w:tc>
          <w:tcPr>
            <w:tcW w:w="739"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5</w:t>
            </w:r>
          </w:p>
        </w:tc>
        <w:tc>
          <w:tcPr>
            <w:tcW w:w="572" w:type="pct"/>
            <w:shd w:val="clear" w:color="auto" w:fill="auto"/>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项目验收</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安排</w:t>
            </w:r>
          </w:p>
        </w:tc>
        <w:tc>
          <w:tcPr>
            <w:tcW w:w="3194" w:type="pct"/>
            <w:shd w:val="clear" w:color="auto" w:fill="auto"/>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1.经采购人试运行确认产品参数符合要求后，供应商向采购人提交书面验收申请，由采购人组织验收。</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2.供应商应在验收前，向采购人提供按合同的技术规格、技术规范的要求进行的测试与验收方案，验收以采购文件、响应文件、合同技术规格、产品相应的技术说明为标准。</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3.验收未能通过的，供应商负责在10个工作日内完成整改。如整改后仍未符合要求，采购人有权终止合同、报财政部门依法处理，供应商承担相应责任。</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4.验收合格后双方共同签署验收表，验收合格日期以最后的签字日为准。采购人验收合格的结果仅视为货物在外观、数量、型号、规格上符合约定的证明，检验合格文件的签署不使采购人丧失因质量问题而向供应商索赔和求偿的权利，同时不免除供应商对于货物质量缺陷或瑕疵负有的相应责任。</w:t>
            </w:r>
          </w:p>
        </w:tc>
        <w:tc>
          <w:tcPr>
            <w:tcW w:w="739" w:type="pct"/>
            <w:shd w:val="clear" w:color="auto" w:fill="auto"/>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6</w:t>
            </w:r>
          </w:p>
        </w:tc>
        <w:tc>
          <w:tcPr>
            <w:tcW w:w="572" w:type="pct"/>
            <w:shd w:val="clear" w:color="auto" w:fill="auto"/>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kern w:val="0"/>
                <w:sz w:val="24"/>
                <w:szCs w:val="24"/>
              </w:rPr>
              <w:t>迁移技术服务</w:t>
            </w:r>
          </w:p>
        </w:tc>
        <w:tc>
          <w:tcPr>
            <w:tcW w:w="3194" w:type="pct"/>
            <w:shd w:val="clear" w:color="auto" w:fill="auto"/>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供应商需要针对本次项目提供迁移服务，迁移包括学校现有业务系统虚拟机、物理机系统、包含业务存储。迁移现有VMware平台虚拟机221台，存储152TB，物理机10台（完整迁移）、核心数据库（4套oracle、2套mysql数据库分别为高可用架构数据总量30TB），迁移过程保证业务无中断，访问用户无感知，切换过程0中断。</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1、数据库迁移要求：迁移过程中对数据库源端性能影响不超过5%，并且可以被新建设平台纳管、迁移、备份，提供数据库迁移方案和业务性能验证报告，迁移过程源主机性能可视化，如出现性能影响或占用率异常上升需要提供应急措施解决方案。</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2、数据完整性验证：迁移结束后提供数据完整性验证工具，验证源机与被迁移目标机的数据完整，输出对应材料和数据完整性检验报告。</w:t>
            </w:r>
          </w:p>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3、时间要求：项目试运行结束前完成所有业务的迁移工作和验证性工作。</w:t>
            </w:r>
          </w:p>
        </w:tc>
        <w:tc>
          <w:tcPr>
            <w:tcW w:w="739" w:type="pct"/>
            <w:shd w:val="clear" w:color="auto" w:fill="auto"/>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提供方案</w:t>
            </w:r>
          </w:p>
        </w:tc>
      </w:tr>
    </w:tbl>
    <w:p>
      <w:pPr>
        <w:pStyle w:val="2"/>
        <w:spacing w:before="0" w:after="0" w:line="360" w:lineRule="auto"/>
        <w:rPr>
          <w:rFonts w:hint="eastAsia" w:ascii="宋体" w:hAnsi="宋体"/>
          <w:b w:val="0"/>
          <w:sz w:val="24"/>
          <w:szCs w:val="24"/>
        </w:rPr>
      </w:pPr>
    </w:p>
    <w:p>
      <w:pPr>
        <w:pStyle w:val="2"/>
        <w:spacing w:before="0" w:after="0" w:line="360" w:lineRule="auto"/>
        <w:rPr>
          <w:rFonts w:hint="eastAsia" w:ascii="黑体" w:hAnsi="黑体" w:eastAsia="黑体" w:cs="黑体"/>
          <w:b w:val="0"/>
          <w:sz w:val="24"/>
          <w:szCs w:val="24"/>
        </w:rPr>
      </w:pPr>
      <w:r>
        <w:rPr>
          <w:rFonts w:hint="eastAsia" w:ascii="黑体" w:hAnsi="黑体" w:eastAsia="黑体" w:cs="黑体"/>
          <w:b w:val="0"/>
          <w:sz w:val="24"/>
          <w:szCs w:val="24"/>
        </w:rPr>
        <w:t>五、</w:t>
      </w:r>
      <w:bookmarkStart w:id="23" w:name="_Hlk184374197"/>
      <w:r>
        <w:rPr>
          <w:rFonts w:hint="eastAsia" w:ascii="黑体" w:hAnsi="黑体" w:eastAsia="黑体" w:cs="黑体"/>
          <w:b w:val="0"/>
          <w:sz w:val="24"/>
          <w:szCs w:val="24"/>
        </w:rPr>
        <w:t>实施团队人员要求</w:t>
      </w:r>
      <w:bookmarkEnd w:id="23"/>
    </w:p>
    <w:tbl>
      <w:tblPr>
        <w:tblStyle w:val="16"/>
        <w:tblW w:w="875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760"/>
        <w:gridCol w:w="7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760"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内容</w:t>
            </w:r>
          </w:p>
        </w:tc>
        <w:tc>
          <w:tcPr>
            <w:tcW w:w="7252"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1</w:t>
            </w:r>
          </w:p>
        </w:tc>
        <w:tc>
          <w:tcPr>
            <w:tcW w:w="760"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color w:val="000000"/>
                <w:kern w:val="0"/>
                <w:sz w:val="24"/>
                <w:szCs w:val="24"/>
                <w:lang w:bidi="ar"/>
              </w:rPr>
              <w:t>项目经理</w:t>
            </w:r>
          </w:p>
        </w:tc>
        <w:tc>
          <w:tcPr>
            <w:tcW w:w="7252" w:type="dxa"/>
            <w:shd w:val="clear" w:color="auto" w:fill="auto"/>
            <w:vAlign w:val="center"/>
          </w:tcPr>
          <w:p>
            <w:pPr>
              <w:jc w:val="left"/>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（1）必须满足的要求：</w:t>
            </w:r>
          </w:p>
          <w:p>
            <w:pPr>
              <w:jc w:val="left"/>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本项目需提供专职项目经理1名，未经采购人允许不得更换。</w:t>
            </w:r>
          </w:p>
          <w:p>
            <w:pPr>
              <w:jc w:val="left"/>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（2）进行评价打分的要求：</w:t>
            </w:r>
          </w:p>
          <w:p>
            <w:pPr>
              <w:jc w:val="left"/>
              <w:rPr>
                <w:rFonts w:hint="eastAsia" w:ascii="宋体" w:hAnsi="宋体" w:eastAsia="宋体" w:cs="宋体"/>
                <w:b/>
                <w:sz w:val="24"/>
                <w:szCs w:val="24"/>
              </w:rPr>
            </w:pPr>
            <w:r>
              <w:rPr>
                <w:rFonts w:hint="eastAsia" w:ascii="宋体" w:hAnsi="宋体" w:eastAsia="宋体" w:cs="宋体"/>
                <w:color w:val="000000"/>
                <w:kern w:val="0"/>
                <w:sz w:val="24"/>
                <w:szCs w:val="24"/>
                <w:lang w:bidi="ar"/>
              </w:rPr>
              <w:t>项目经理具有3年及以上系统集成或软件开发项目的管理经验，具有计算机类本科及以上学历，</w:t>
            </w:r>
            <w:bookmarkStart w:id="24" w:name="_Hlk184374223"/>
            <w:r>
              <w:rPr>
                <w:rFonts w:hint="eastAsia" w:ascii="宋体" w:hAnsi="宋体" w:eastAsia="宋体" w:cs="宋体"/>
                <w:color w:val="000000"/>
                <w:kern w:val="0"/>
                <w:sz w:val="24"/>
                <w:szCs w:val="24"/>
                <w:lang w:bidi="ar"/>
              </w:rPr>
              <w:t>具有人社部、工信部颁发的系统集成项目管理工程师或信息系统项目管理师证书</w:t>
            </w:r>
            <w:bookmarkEnd w:id="24"/>
            <w:r>
              <w:rPr>
                <w:rFonts w:hint="eastAsia" w:ascii="宋体" w:hAnsi="宋体" w:eastAsia="宋体" w:cs="宋体"/>
                <w:color w:val="000000"/>
                <w:kern w:val="0"/>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2</w:t>
            </w:r>
          </w:p>
        </w:tc>
        <w:tc>
          <w:tcPr>
            <w:tcW w:w="760"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color w:val="000000"/>
                <w:kern w:val="0"/>
                <w:sz w:val="24"/>
                <w:szCs w:val="24"/>
                <w:lang w:bidi="ar"/>
              </w:rPr>
              <w:t>原厂实施人员</w:t>
            </w:r>
          </w:p>
        </w:tc>
        <w:tc>
          <w:tcPr>
            <w:tcW w:w="7252" w:type="dxa"/>
            <w:shd w:val="clear" w:color="auto" w:fill="auto"/>
            <w:vAlign w:val="center"/>
          </w:tcPr>
          <w:p>
            <w:pP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bookmarkStart w:id="25" w:name="_Hlk184374298"/>
            <w:r>
              <w:rPr>
                <w:rFonts w:hint="eastAsia" w:ascii="宋体" w:hAnsi="宋体" w:eastAsia="宋体" w:cs="宋体"/>
                <w:color w:val="000000"/>
                <w:kern w:val="0"/>
                <w:sz w:val="24"/>
                <w:szCs w:val="24"/>
                <w:lang w:bidi="ar"/>
              </w:rPr>
              <w:t>为保证本项目顺利实施，需提供服务器原厂实施工程师不少于2人，虚拟化软件系统的原厂实施工程师不少于3人</w:t>
            </w:r>
            <w:bookmarkEnd w:id="25"/>
            <w:r>
              <w:rPr>
                <w:rFonts w:hint="eastAsia" w:ascii="宋体" w:hAnsi="宋体" w:eastAsia="宋体" w:cs="宋体"/>
                <w:color w:val="000000"/>
                <w:kern w:val="0"/>
                <w:sz w:val="24"/>
                <w:szCs w:val="24"/>
                <w:lang w:bidi="ar"/>
              </w:rPr>
              <w:t>。</w:t>
            </w:r>
          </w:p>
          <w:p>
            <w:pPr>
              <w:rPr>
                <w:rFonts w:hint="eastAsia" w:ascii="宋体" w:hAnsi="宋体" w:eastAsia="宋体" w:cs="宋体"/>
                <w:b/>
                <w:sz w:val="24"/>
                <w:szCs w:val="24"/>
              </w:rPr>
            </w:pPr>
            <w:r>
              <w:rPr>
                <w:rFonts w:hint="eastAsia" w:ascii="宋体" w:hAnsi="宋体" w:eastAsia="宋体" w:cs="宋体"/>
                <w:color w:val="000000"/>
                <w:kern w:val="0"/>
                <w:sz w:val="24"/>
                <w:szCs w:val="24"/>
                <w:lang w:bidi="ar"/>
              </w:rPr>
              <w:t>2、实施人员未经采购人同意，不得更换。若实施人员不能有效完成采购人工作要求，自采购人提出更换要求之日起3日内需更换人员。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6"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3</w:t>
            </w:r>
          </w:p>
        </w:tc>
        <w:tc>
          <w:tcPr>
            <w:tcW w:w="760" w:type="dxa"/>
            <w:shd w:val="clear" w:color="auto" w:fill="auto"/>
            <w:vAlign w:val="center"/>
          </w:tcPr>
          <w:p>
            <w:pPr>
              <w:adjustRightInd w:val="0"/>
              <w:snapToGrid w:val="0"/>
              <w:jc w:val="center"/>
              <w:rPr>
                <w:rFonts w:hint="eastAsia" w:ascii="宋体" w:hAnsi="宋体" w:eastAsia="宋体" w:cs="宋体"/>
                <w:b/>
                <w:sz w:val="24"/>
                <w:szCs w:val="24"/>
              </w:rPr>
            </w:pPr>
            <w:bookmarkStart w:id="26" w:name="_Hlk184374366"/>
            <w:r>
              <w:rPr>
                <w:rFonts w:hint="eastAsia" w:ascii="宋体" w:hAnsi="宋体" w:eastAsia="宋体" w:cs="宋体"/>
                <w:color w:val="000000"/>
                <w:kern w:val="0"/>
                <w:sz w:val="24"/>
                <w:szCs w:val="24"/>
                <w:lang w:bidi="ar"/>
              </w:rPr>
              <w:t>供应商实施人员</w:t>
            </w:r>
            <w:bookmarkEnd w:id="26"/>
            <w:r>
              <w:rPr>
                <w:rFonts w:hint="eastAsia" w:ascii="宋体" w:hAnsi="宋体" w:eastAsia="宋体" w:cs="宋体"/>
                <w:color w:val="000000"/>
                <w:kern w:val="0"/>
                <w:sz w:val="24"/>
                <w:szCs w:val="24"/>
                <w:lang w:bidi="ar"/>
              </w:rPr>
              <w:t>（不含项目经理）</w:t>
            </w:r>
          </w:p>
        </w:tc>
        <w:tc>
          <w:tcPr>
            <w:tcW w:w="7252" w:type="dxa"/>
            <w:shd w:val="clear" w:color="auto" w:fill="auto"/>
            <w:vAlign w:val="center"/>
          </w:tcPr>
          <w:p>
            <w:pP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1、供应商需提供本项目的实施服务人员不少于2人，实施服务人员应具有独自有效完成采购人工作要求的能力；后期独自维护本项目采购软硬件产品的能力。</w:t>
            </w:r>
          </w:p>
          <w:p>
            <w:pPr>
              <w:adjustRightInd w:val="0"/>
              <w:snapToGrid w:val="0"/>
              <w:rPr>
                <w:rFonts w:hint="eastAsia" w:ascii="宋体" w:hAnsi="宋体" w:eastAsia="宋体" w:cs="宋体"/>
                <w:b/>
                <w:sz w:val="24"/>
                <w:szCs w:val="24"/>
              </w:rPr>
            </w:pPr>
            <w:r>
              <w:rPr>
                <w:rFonts w:hint="eastAsia" w:ascii="宋体" w:hAnsi="宋体" w:eastAsia="宋体" w:cs="宋体"/>
                <w:color w:val="000000"/>
                <w:kern w:val="0"/>
                <w:sz w:val="24"/>
                <w:szCs w:val="24"/>
                <w:lang w:bidi="ar"/>
              </w:rPr>
              <w:t>2、供应商应提供现场实施服务，办公场</w:t>
            </w:r>
            <w:r>
              <w:rPr>
                <w:rFonts w:hint="eastAsia" w:ascii="宋体" w:hAnsi="宋体" w:eastAsia="宋体" w:cs="宋体"/>
                <w:color w:val="000000"/>
                <w:kern w:val="0"/>
                <w:sz w:val="24"/>
                <w:szCs w:val="24"/>
                <w:lang w:eastAsia="zh-CN" w:bidi="ar"/>
              </w:rPr>
              <w:t>所由采购人进行安排</w:t>
            </w:r>
            <w:r>
              <w:rPr>
                <w:rFonts w:hint="eastAsia" w:ascii="宋体" w:hAnsi="宋体" w:eastAsia="宋体" w:cs="宋体"/>
                <w:color w:val="000000"/>
                <w:kern w:val="0"/>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6" w:type="dxa"/>
            <w:shd w:val="clear" w:color="auto" w:fill="auto"/>
            <w:vAlign w:val="center"/>
          </w:tcPr>
          <w:p>
            <w:pPr>
              <w:adjustRightInd w:val="0"/>
              <w:snapToGrid w:val="0"/>
              <w:jc w:val="center"/>
              <w:rPr>
                <w:rFonts w:hint="eastAsia" w:ascii="宋体" w:hAnsi="宋体" w:eastAsia="宋体" w:cs="宋体"/>
                <w:b/>
                <w:sz w:val="24"/>
                <w:szCs w:val="24"/>
              </w:rPr>
            </w:pPr>
            <w:r>
              <w:rPr>
                <w:rFonts w:hint="eastAsia" w:ascii="宋体" w:hAnsi="宋体" w:eastAsia="宋体" w:cs="宋体"/>
                <w:kern w:val="0"/>
                <w:sz w:val="24"/>
                <w:szCs w:val="24"/>
              </w:rPr>
              <w:t>4</w:t>
            </w:r>
          </w:p>
        </w:tc>
        <w:tc>
          <w:tcPr>
            <w:tcW w:w="760" w:type="dxa"/>
            <w:shd w:val="clear" w:color="auto" w:fill="auto"/>
            <w:vAlign w:val="center"/>
          </w:tcPr>
          <w:p>
            <w:pPr>
              <w:adjustRightInd w:val="0"/>
              <w:snapToGrid w:val="0"/>
              <w:jc w:val="center"/>
              <w:rPr>
                <w:rFonts w:hint="eastAsia" w:ascii="宋体" w:hAnsi="宋体" w:eastAsia="宋体" w:cs="宋体"/>
                <w:color w:val="000000"/>
                <w:kern w:val="0"/>
                <w:sz w:val="24"/>
                <w:szCs w:val="24"/>
                <w:lang w:bidi="ar"/>
              </w:rPr>
            </w:pPr>
            <w:r>
              <w:rPr>
                <w:rFonts w:hint="eastAsia" w:ascii="宋体" w:hAnsi="宋体" w:eastAsia="宋体" w:cs="宋体"/>
                <w:kern w:val="0"/>
                <w:sz w:val="24"/>
                <w:szCs w:val="24"/>
              </w:rPr>
              <w:t>驻场服务要求</w:t>
            </w:r>
          </w:p>
        </w:tc>
        <w:tc>
          <w:tcPr>
            <w:tcW w:w="7252" w:type="dxa"/>
            <w:shd w:val="clear" w:color="auto" w:fill="auto"/>
            <w:vAlign w:val="center"/>
          </w:tcPr>
          <w:p>
            <w:pPr>
              <w:spacing w:line="560" w:lineRule="exact"/>
              <w:rPr>
                <w:rFonts w:hint="eastAsia" w:ascii="宋体" w:hAnsi="宋体" w:eastAsia="宋体" w:cs="宋体"/>
                <w:b/>
                <w:bCs/>
                <w:color w:val="000000"/>
                <w:kern w:val="0"/>
                <w:sz w:val="24"/>
                <w:szCs w:val="24"/>
                <w:lang w:bidi="ar"/>
              </w:rPr>
            </w:pPr>
            <w:r>
              <w:rPr>
                <w:rFonts w:hint="eastAsia" w:ascii="宋体" w:hAnsi="宋体" w:eastAsia="宋体" w:cs="宋体"/>
                <w:kern w:val="0"/>
                <w:sz w:val="24"/>
                <w:szCs w:val="24"/>
              </w:rPr>
              <w:t>本项目需提供1名人员进行3年的免费驻场服务，工作时间与采购人上班时间一致。驻场人员须为供应商本公司人员，具有所投产品的维护服务能力。驻场人员具有3年及以上运维服务工作经验。</w:t>
            </w:r>
          </w:p>
        </w:tc>
      </w:tr>
    </w:tbl>
    <w:p>
      <w:pPr>
        <w:rPr>
          <w:rFonts w:hint="eastAsia" w:ascii="宋体" w:hAnsi="宋体" w:eastAsia="宋体" w:cs="宋体"/>
          <w:color w:val="000000"/>
          <w:kern w:val="0"/>
          <w:sz w:val="24"/>
          <w:szCs w:val="24"/>
          <w:lang w:bidi="ar"/>
        </w:rPr>
      </w:pPr>
    </w:p>
    <w:p>
      <w:pPr>
        <w:pStyle w:val="2"/>
        <w:spacing w:before="0" w:after="0" w:line="360" w:lineRule="auto"/>
        <w:rPr>
          <w:rFonts w:hint="eastAsia" w:ascii="黑体" w:hAnsi="黑体" w:eastAsia="黑体" w:cs="黑体"/>
          <w:b w:val="0"/>
          <w:sz w:val="24"/>
          <w:szCs w:val="24"/>
        </w:rPr>
      </w:pPr>
      <w:r>
        <w:rPr>
          <w:rFonts w:hint="eastAsia" w:ascii="黑体" w:hAnsi="黑体" w:eastAsia="黑体" w:cs="黑体"/>
          <w:b w:val="0"/>
          <w:sz w:val="24"/>
          <w:szCs w:val="24"/>
        </w:rPr>
        <w:t>六、</w:t>
      </w:r>
      <w:bookmarkStart w:id="27" w:name="_Hlk184374408"/>
      <w:r>
        <w:rPr>
          <w:rFonts w:hint="eastAsia" w:ascii="黑体" w:hAnsi="黑体" w:eastAsia="黑体" w:cs="黑体"/>
          <w:b w:val="0"/>
          <w:sz w:val="24"/>
          <w:szCs w:val="24"/>
        </w:rPr>
        <w:t>服务要求</w:t>
      </w:r>
      <w:bookmarkEnd w:id="27"/>
    </w:p>
    <w:tbl>
      <w:tblPr>
        <w:tblStyle w:val="15"/>
        <w:tblW w:w="53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778"/>
        <w:gridCol w:w="7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 w:type="pct"/>
            <w:vAlign w:val="center"/>
          </w:tcPr>
          <w:p>
            <w:pPr>
              <w:widowControl/>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424" w:type="pct"/>
            <w:vAlign w:val="center"/>
          </w:tcPr>
          <w:p>
            <w:pPr>
              <w:widowControl/>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内容</w:t>
            </w:r>
          </w:p>
        </w:tc>
        <w:tc>
          <w:tcPr>
            <w:tcW w:w="4080" w:type="pct"/>
            <w:vAlign w:val="center"/>
          </w:tcPr>
          <w:p>
            <w:pPr>
              <w:widowControl/>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服务要求标准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1</w:t>
            </w:r>
          </w:p>
        </w:tc>
        <w:tc>
          <w:tcPr>
            <w:tcW w:w="424"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原厂</w:t>
            </w:r>
          </w:p>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售后</w:t>
            </w:r>
          </w:p>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服务</w:t>
            </w:r>
          </w:p>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承诺函</w:t>
            </w:r>
          </w:p>
        </w:tc>
        <w:tc>
          <w:tcPr>
            <w:tcW w:w="4080" w:type="pct"/>
            <w:vAlign w:val="center"/>
          </w:tcPr>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自项目到货合格之日起，供应商须提供3年原厂免费质保服务（交货时提供原厂售后服务承诺函并加盖原厂家公章），质保期内供应商要保修除消耗品以外的所有设备。3年质保期内包括但不限于技术支持服务，硬件整机质保及软件升级服务，故障介质免回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2</w:t>
            </w:r>
          </w:p>
        </w:tc>
        <w:tc>
          <w:tcPr>
            <w:tcW w:w="424"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服务</w:t>
            </w:r>
          </w:p>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承诺</w:t>
            </w:r>
          </w:p>
        </w:tc>
        <w:tc>
          <w:tcPr>
            <w:tcW w:w="4080" w:type="pct"/>
            <w:vAlign w:val="center"/>
          </w:tcPr>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供应商必须满足以下服务要求：</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1、技术支持服务</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服务期内，接到采购人请求后，设备原厂商应提供以下形式的技术支持服务：</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（1）电话咨询</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设备原厂商提供本次采购设备（含系统软件）的质量保障服务，为用户提供7*24小时技术支持电话，解答用户在系统使用中遇到的问题，及时提出解决问题的建议和操作方法电话咨询。</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（2）远程在线诊断和故障排除</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对于电话咨询解决不了的问题，经采购人授权设备原厂商可通过互联网远程登录到用户网络系统进行故障诊断和故障排除。</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（3）现场响应</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提供7*24原厂商软硬件质量保障服务，收到采购人的服务请求后，服务响应时间不得超过0.5小时，设备原厂商应指派技术人员在2小时内赶赴现场进行故障处理。</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（4）巡检及备机到场服务：质保服务期内，供应商每年提供不少于6次现场巡检服务，在春节、五一、十一等节假日和重大活动之前（采购人通知）进行关键设备的巡检服务，以确保各业务系统运行正常。</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2、硬件整机质保</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备件备品：供应商承诺配备有足够的备品备件，能够按质保服务要求为采购人及时提供原厂技术支持和备件更换服务。供应商及原厂商保证所提供设备的备件库可以满足采购人日常使用、排除硬件故障、升级的需求。质保期内，供应商及原厂商免费以全新配件更换正常使用下损坏的配件，并提供免备件费、免人工费、免服务费的故障备件更换服务。</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软件服务：提供所购设备自带及选配软件的使用支持服务，且不影响免费质保期。在质保期内对所有涉及软件使用方面的技术支持不另行收费。</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巡检服务：质保服务期内，供应商每年提供不少于6次现场巡检服务，在春节、五一、十一等节假日和重大活动之前（采购人通知）进行关键设备的巡检服务，以确保各业务系统运行正常。</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设备移机：在免费质保期内设备移机（物理迁移），供应商及原厂商根据采购人需要，提供现场支持服务。服务不另行收费，不影响质保期。</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升级支持：供应商及原厂商免费为采购人提供本次采购的系统软件维护、版本升级、微码升级、补丁程序及技术支持等服务，保证设备软硬件系统正常运行。</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3、软件升级服务</w:t>
            </w:r>
          </w:p>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在质保期内，供应商及原厂商免费为采购人提供本次采购的系统软件维护、版本升级、补丁程序及技术支持等服务，保证设备软硬件系统正常运行，提供免费升级及更新服务。对于所投标设备涉及到软件定制的内容部分，供应商及原厂商也应承诺定制内容的免费升级，即系统升级不应影响定制功能的正常使用。对于采购人额外的功能要求，应双方友好协商后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495"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3</w:t>
            </w:r>
          </w:p>
        </w:tc>
        <w:tc>
          <w:tcPr>
            <w:tcW w:w="424"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产品</w:t>
            </w:r>
          </w:p>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质量</w:t>
            </w:r>
          </w:p>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要求</w:t>
            </w:r>
          </w:p>
        </w:tc>
        <w:tc>
          <w:tcPr>
            <w:tcW w:w="4080" w:type="pct"/>
            <w:vAlign w:val="center"/>
          </w:tcPr>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货物必须是全新的，到货后，由采购人、供应商双方按照装箱单和合同设备清单共同实施开箱检验，并逐台登记核验设备及模块的序列号和维保期限，如有缺陷、缺损或与合同规定和招标文件要求不符，双方代表将签署详细报告。该报告将作为采购人要求供应商对设备进行更换和补充发货的有效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95" w:type="pct"/>
            <w:vAlign w:val="center"/>
          </w:tcPr>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424" w:type="pct"/>
            <w:vAlign w:val="center"/>
          </w:tcPr>
          <w:p>
            <w:pPr>
              <w:adjustRightInd w:val="0"/>
              <w:snapToGrid w:val="0"/>
              <w:jc w:val="center"/>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保密需求</w:t>
            </w:r>
          </w:p>
        </w:tc>
        <w:tc>
          <w:tcPr>
            <w:tcW w:w="4080" w:type="pct"/>
            <w:vAlign w:val="center"/>
          </w:tcPr>
          <w:p>
            <w:pPr>
              <w:adjustRightInd w:val="0"/>
              <w:snapToGrid w:val="0"/>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供应商在中标后需签订保密协议，因项目获知采购人的网络结构、信息系统配置、系统账号及口令、IP地址等信息均应严格保密，不得在任何时间以任何理由向第三方泄露或用作其他用途。如违反保密要求造成泄密的，采购人将追究供应商相应的法律责任。</w:t>
            </w:r>
          </w:p>
        </w:tc>
      </w:tr>
    </w:tbl>
    <w:p>
      <w:pPr>
        <w:tabs>
          <w:tab w:val="left" w:pos="420"/>
        </w:tabs>
        <w:adjustRightInd w:val="0"/>
        <w:snapToGrid w:val="0"/>
        <w:spacing w:line="360" w:lineRule="auto"/>
        <w:jc w:val="center"/>
        <w:rPr>
          <w:rFonts w:hint="eastAsia" w:ascii="宋体" w:hAnsi="宋体" w:eastAsia="宋体" w:cs="宋体"/>
          <w:b/>
          <w:bCs/>
          <w:kern w:val="0"/>
          <w:sz w:val="24"/>
          <w:szCs w:val="24"/>
        </w:rPr>
      </w:pPr>
    </w:p>
    <w:p>
      <w:pPr>
        <w:pStyle w:val="2"/>
        <w:spacing w:before="0" w:after="0" w:line="360" w:lineRule="auto"/>
        <w:rPr>
          <w:rFonts w:hint="eastAsia" w:ascii="黑体" w:hAnsi="黑体" w:eastAsia="黑体" w:cs="黑体"/>
          <w:b w:val="0"/>
          <w:sz w:val="24"/>
          <w:szCs w:val="24"/>
        </w:rPr>
      </w:pPr>
      <w:r>
        <w:rPr>
          <w:rFonts w:hint="eastAsia" w:ascii="黑体" w:hAnsi="黑体" w:eastAsia="黑体" w:cs="黑体"/>
          <w:b w:val="0"/>
          <w:sz w:val="24"/>
          <w:szCs w:val="24"/>
        </w:rPr>
        <w:t>七、培训要求</w:t>
      </w:r>
    </w:p>
    <w:tbl>
      <w:tblPr>
        <w:tblStyle w:val="15"/>
        <w:tblW w:w="46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1047"/>
        <w:gridCol w:w="6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54" w:type="pct"/>
            <w:vAlign w:val="center"/>
          </w:tcPr>
          <w:p>
            <w:pPr>
              <w:widowControl/>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678" w:type="pct"/>
            <w:vAlign w:val="center"/>
          </w:tcPr>
          <w:p>
            <w:pPr>
              <w:widowControl/>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内容</w:t>
            </w:r>
          </w:p>
        </w:tc>
        <w:tc>
          <w:tcPr>
            <w:tcW w:w="4067" w:type="pct"/>
            <w:vAlign w:val="center"/>
          </w:tcPr>
          <w:p>
            <w:pPr>
              <w:widowControl/>
              <w:adjustRightInd w:val="0"/>
              <w:snapToGrid w:val="0"/>
              <w:jc w:val="center"/>
              <w:rPr>
                <w:rFonts w:hint="eastAsia" w:ascii="宋体" w:hAnsi="宋体" w:eastAsia="宋体" w:cs="宋体"/>
                <w:b/>
                <w:sz w:val="24"/>
                <w:szCs w:val="24"/>
              </w:rPr>
            </w:pPr>
            <w:r>
              <w:rPr>
                <w:rFonts w:hint="eastAsia" w:ascii="宋体" w:hAnsi="宋体" w:eastAsia="宋体" w:cs="宋体"/>
                <w:b/>
                <w:sz w:val="24"/>
                <w:szCs w:val="24"/>
              </w:rPr>
              <w:t>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254"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1</w:t>
            </w:r>
          </w:p>
        </w:tc>
        <w:tc>
          <w:tcPr>
            <w:tcW w:w="678"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培训时间</w:t>
            </w:r>
          </w:p>
        </w:tc>
        <w:tc>
          <w:tcPr>
            <w:tcW w:w="4067" w:type="pct"/>
            <w:vAlign w:val="center"/>
          </w:tcPr>
          <w:p>
            <w:pPr>
              <w:adjustRightInd w:val="0"/>
              <w:snapToGrid w:val="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培训总计时间不少于7天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54"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2</w:t>
            </w:r>
          </w:p>
        </w:tc>
        <w:tc>
          <w:tcPr>
            <w:tcW w:w="678"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培训地点</w:t>
            </w:r>
          </w:p>
        </w:tc>
        <w:tc>
          <w:tcPr>
            <w:tcW w:w="4067" w:type="pct"/>
            <w:vAlign w:val="center"/>
          </w:tcPr>
          <w:p>
            <w:pPr>
              <w:adjustRightInd w:val="0"/>
              <w:snapToGrid w:val="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54"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3</w:t>
            </w:r>
          </w:p>
        </w:tc>
        <w:tc>
          <w:tcPr>
            <w:tcW w:w="678"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培训内容</w:t>
            </w:r>
          </w:p>
        </w:tc>
        <w:tc>
          <w:tcPr>
            <w:tcW w:w="4067" w:type="pct"/>
            <w:vAlign w:val="center"/>
          </w:tcPr>
          <w:p>
            <w:pPr>
              <w:adjustRightInd w:val="0"/>
              <w:snapToGrid w:val="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培训内容包括但不限于系统使用，技术讲解，常见故障解决等。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54"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4</w:t>
            </w:r>
          </w:p>
        </w:tc>
        <w:tc>
          <w:tcPr>
            <w:tcW w:w="678"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培训效果</w:t>
            </w:r>
          </w:p>
        </w:tc>
        <w:tc>
          <w:tcPr>
            <w:tcW w:w="4067" w:type="pct"/>
            <w:vAlign w:val="center"/>
          </w:tcPr>
          <w:p>
            <w:pPr>
              <w:widowControl/>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采购人的相关使用人员能够熟悉系统架构，充分掌握各设备的功能和操作方法，熟练操作和使用设备，并能应对并处理简单的设备故障。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54" w:type="pc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5</w:t>
            </w:r>
          </w:p>
        </w:tc>
        <w:tc>
          <w:tcPr>
            <w:tcW w:w="678" w:type="pct"/>
            <w:vAlign w:val="center"/>
          </w:tcPr>
          <w:p>
            <w:pPr>
              <w:widowControl/>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培训计划</w:t>
            </w:r>
          </w:p>
        </w:tc>
        <w:tc>
          <w:tcPr>
            <w:tcW w:w="4067" w:type="pct"/>
            <w:vAlign w:val="center"/>
          </w:tcPr>
          <w:p>
            <w:pPr>
              <w:adjustRightInd w:val="0"/>
              <w:snapToGrid w:val="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供应商应制定详细的培训计划，包括培训人员（不少于3名培训工程师）、培训教材、考核标准等。</w:t>
            </w:r>
          </w:p>
        </w:tc>
      </w:tr>
    </w:tbl>
    <w:p>
      <w:pPr>
        <w:adjustRightInd w:val="0"/>
        <w:snapToGrid w:val="0"/>
        <w:spacing w:line="360" w:lineRule="auto"/>
        <w:jc w:val="left"/>
        <w:rPr>
          <w:rFonts w:hint="eastAsia" w:ascii="宋体" w:hAnsi="宋体" w:eastAsia="宋体"/>
          <w:b/>
          <w:sz w:val="24"/>
          <w:szCs w:val="24"/>
        </w:rPr>
      </w:pPr>
      <w:r>
        <w:rPr>
          <w:rFonts w:ascii="宋体" w:hAnsi="宋体" w:eastAsia="宋体"/>
          <w:b/>
          <w:sz w:val="24"/>
          <w:szCs w:val="24"/>
        </w:rPr>
        <w:t xml:space="preserve"> </w:t>
      </w:r>
    </w:p>
    <w:p>
      <w:pPr>
        <w:pStyle w:val="2"/>
        <w:spacing w:before="0" w:after="0" w:line="360" w:lineRule="auto"/>
        <w:rPr>
          <w:rFonts w:hint="eastAsia" w:ascii="黑体" w:hAnsi="黑体" w:eastAsia="黑体" w:cs="黑体"/>
          <w:b w:val="0"/>
          <w:sz w:val="24"/>
          <w:szCs w:val="24"/>
        </w:rPr>
      </w:pPr>
      <w:r>
        <w:rPr>
          <w:rFonts w:hint="eastAsia" w:ascii="黑体" w:hAnsi="黑体" w:eastAsia="黑体" w:cs="黑体"/>
          <w:b w:val="0"/>
          <w:sz w:val="24"/>
          <w:szCs w:val="24"/>
        </w:rPr>
        <w:t>八、供应商需要提供的方案要求</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（一）针对本项目提出项目组织实施方案：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1.项目实施过程控制方案；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2.项目实施过程文档管理方案；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3.项目实施组织架构及管理方案；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4.项目实施过程安排方案；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5.项目配合验收方案；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6.保密方案。</w:t>
      </w:r>
    </w:p>
    <w:p>
      <w:pPr>
        <w:widowControl/>
        <w:spacing w:line="560" w:lineRule="exact"/>
        <w:ind w:firstLine="480" w:firstLineChars="200"/>
        <w:jc w:val="left"/>
        <w:rPr>
          <w:rFonts w:hint="eastAsia" w:ascii="宋体" w:hAnsi="宋体" w:eastAsia="宋体" w:cstheme="minorEastAsia"/>
          <w:sz w:val="24"/>
          <w:szCs w:val="24"/>
        </w:rPr>
      </w:pP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（二）针对本项目提供技术服务方案：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1.软硬件产品选型方案；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2.安装部署方案；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3.定制开发方案；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4.迁移技术服务方案；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5.驻场服务方案；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6.售后服务方案；</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7.培训方案。</w:t>
      </w:r>
    </w:p>
    <w:p>
      <w:pPr>
        <w:widowControl/>
        <w:jc w:val="left"/>
        <w:rPr>
          <w:rFonts w:hint="eastAsia" w:ascii="宋体" w:hAnsi="宋体" w:eastAsia="宋体" w:cs="Times New Roman"/>
          <w:sz w:val="24"/>
          <w:szCs w:val="24"/>
        </w:rPr>
      </w:pPr>
    </w:p>
    <w:p>
      <w:pPr>
        <w:pStyle w:val="2"/>
        <w:spacing w:before="0" w:after="0" w:line="360" w:lineRule="auto"/>
        <w:rPr>
          <w:rFonts w:hint="eastAsia" w:ascii="宋体" w:hAnsi="宋体"/>
          <w:b w:val="0"/>
          <w:sz w:val="24"/>
          <w:szCs w:val="24"/>
        </w:rPr>
      </w:pPr>
      <w:r>
        <w:rPr>
          <w:rFonts w:hint="eastAsia" w:ascii="宋体" w:hAnsi="宋体"/>
          <w:b w:val="0"/>
          <w:sz w:val="24"/>
          <w:szCs w:val="24"/>
        </w:rPr>
        <w:t>九、现场演示要求</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每家供应商对虚拟化软件系统进行现场演示，演示环境由供应商自行搭建，必须调用真实应用系统进行演示，不可使用PPT、FLASH、静态页面或视频等形式。每家供应商演示时间控制在8分钟之内。评标现场可提供投影服务，其余设备、连接线等由供应商自行携带。</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演示内容如下：</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1、技术参数中数据库承载/自动部署功能：</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演示①Oracle 11g/12c/19c的单机/RAC、②MySQL 5.7/8.0的单机/主从、③SQL Server 2012/2016/2019的单机/AlwaysOn、④PostgreSQL 13的单机/主从自动化部署，在创建过程实现自动化虚拟机创建、操作系统安装、数据库软件安装、数据库集群部署、数据库监听部署、数据库创建，演示功能流程。</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2、演示其中一款数据库的故障自愈能力。模拟故障过程，根据故障原因自动进行故障进程拉起、集群服务修复、故障节点重启、故障节点异机拉起；如演示数据库为集群架构的数据库，可以在自动修复故障节点后自动重新加回集群中以实现节点冗余度不变。</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3、演示四款数据库Oracle/MySQL/SQL Server/PostgreSQL自动的周期性备份，自定义备份时间。</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4、演示数据库备份集、数据库快照、数据库事务日志等手段进行数据库连续备份，实现数据库备份集的时效性≤15分钟的功能。</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5、演示数据库快照和数据库事务日志，可以将数据库快速恢复到备份集有效窗口内的任意一秒。任意时间点恢复应能在单一流程中完整恢复包括虚拟机、操作系统、数据库集群、数据库实例、数据库数据等完整的架构。</w:t>
      </w:r>
    </w:p>
    <w:p>
      <w:pPr>
        <w:widowControl/>
        <w:spacing w:line="560" w:lineRule="exact"/>
        <w:ind w:firstLine="480" w:firstLineChars="200"/>
        <w:jc w:val="left"/>
        <w:rPr>
          <w:rFonts w:hint="eastAsia" w:ascii="宋体" w:hAnsi="宋体" w:eastAsia="宋体" w:cstheme="minorEastAsia"/>
          <w:sz w:val="24"/>
          <w:szCs w:val="24"/>
        </w:rPr>
      </w:pPr>
      <w:r>
        <w:rPr>
          <w:rFonts w:hint="eastAsia" w:ascii="宋体" w:hAnsi="宋体" w:eastAsia="宋体" w:cstheme="minorEastAsia"/>
          <w:sz w:val="24"/>
          <w:szCs w:val="24"/>
        </w:rPr>
        <w:t>6、演示统一运维管理移动端应用小程序，演示过程中可通过移动端小程序查看业务拨测情况以及用户资源（包括云主机、服务器、资源池）的监控指标信息。</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altName w:val="FreeSerif"/>
    <w:panose1 w:val="02040503050406030204"/>
    <w:charset w:val="00"/>
    <w:family w:val="roman"/>
    <w:pitch w:val="default"/>
    <w:sig w:usb0="00000000" w:usb1="00000000" w:usb2="02000000" w:usb3="00000000" w:csb0="0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Verdana">
    <w:altName w:val="Ubuntu"/>
    <w:panose1 w:val="020B0604030504040204"/>
    <w:charset w:val="00"/>
    <w:family w:val="swiss"/>
    <w:pitch w:val="default"/>
    <w:sig w:usb0="00000000" w:usb1="00000000" w:usb2="00000010" w:usb3="00000000" w:csb0="0000019F" w:csb1="00000000"/>
  </w:font>
  <w:font w:name="方正公文仿宋">
    <w:panose1 w:val="02000000000000000000"/>
    <w:charset w:val="86"/>
    <w:family w:val="auto"/>
    <w:pitch w:val="default"/>
    <w:sig w:usb0="00000001" w:usb1="0800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posOffset>2575560</wp:posOffset>
              </wp:positionH>
              <wp:positionV relativeFrom="paragraph">
                <wp:posOffset>-1270</wp:posOffset>
              </wp:positionV>
              <wp:extent cx="228600" cy="1828800"/>
              <wp:effectExtent l="0" t="0" r="0" b="12700"/>
              <wp:wrapNone/>
              <wp:docPr id="1" name="文本框 1025"/>
              <wp:cNvGraphicFramePr/>
              <a:graphic xmlns:a="http://schemas.openxmlformats.org/drawingml/2006/main">
                <a:graphicData uri="http://schemas.microsoft.com/office/word/2010/wordprocessingShape">
                  <wps:wsp>
                    <wps:cNvSpPr txBox="true"/>
                    <wps:spPr>
                      <a:xfrm>
                        <a:off x="0" y="0"/>
                        <a:ext cx="228600" cy="1828800"/>
                      </a:xfrm>
                      <a:prstGeom prst="rect">
                        <a:avLst/>
                      </a:prstGeom>
                      <a:noFill/>
                      <a:ln>
                        <a:noFill/>
                      </a:ln>
                    </wps:spPr>
                    <wps:txbx>
                      <w:txbxContent>
                        <w:p>
                          <w:pPr>
                            <w:pStyle w:val="9"/>
                          </w:pPr>
                          <w:r>
                            <w:fldChar w:fldCharType="begin"/>
                          </w:r>
                          <w:r>
                            <w:instrText xml:space="preserve"> PAGE  \* MERGEFORMAT </w:instrText>
                          </w:r>
                          <w:r>
                            <w:fldChar w:fldCharType="separate"/>
                          </w:r>
                          <w:r>
                            <w:t>2</w:t>
                          </w:r>
                          <w:r>
                            <w:fldChar w:fldCharType="end"/>
                          </w:r>
                        </w:p>
                      </w:txbxContent>
                    </wps:txbx>
                    <wps:bodyPr wrap="square" lIns="0" tIns="0" rIns="0" bIns="0" upright="true">
                      <a:spAutoFit/>
                    </wps:bodyPr>
                  </wps:wsp>
                </a:graphicData>
              </a:graphic>
            </wp:anchor>
          </w:drawing>
        </mc:Choice>
        <mc:Fallback>
          <w:pict>
            <v:shape id="文本框 1025" o:spid="_x0000_s1026" o:spt="202" type="#_x0000_t202" style="position:absolute;left:0pt;margin-left:202.8pt;margin-top:-0.1pt;height:144pt;width:18pt;mso-position-horizontal-relative:margin;z-index:251659264;mso-width-relative:page;mso-height-relative:page;" filled="f" stroked="f" coordsize="21600,21600" o:gfxdata="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&#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E2QqU3WAAAACQEAAA8AAAAAAAAAAQAgAAAAOAAAAGRy&#10;cy9kb3ducmV2LnhtbFBLAQIUABQAAAAIAIdO4kDFBy6buAEAAFUDAAAOAAAAAAAAAAEAIAAAADsB&#10;AABkcnMvZTJvRG9jLnhtbFBLBQYAAAAABgAGAFkBAABlBQ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hideSpellingErrors/>
  <w:trackRevisions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FhMTJkMTdjMTkxZDMyNjE2ODUxODMxY2EzMThhZTQifQ=="/>
  </w:docVars>
  <w:rsids>
    <w:rsidRoot w:val="00552D8C"/>
    <w:rsid w:val="00000B22"/>
    <w:rsid w:val="00010881"/>
    <w:rsid w:val="00010D0E"/>
    <w:rsid w:val="000119EC"/>
    <w:rsid w:val="000174B9"/>
    <w:rsid w:val="000212FB"/>
    <w:rsid w:val="00030314"/>
    <w:rsid w:val="00037B38"/>
    <w:rsid w:val="00055486"/>
    <w:rsid w:val="00057D90"/>
    <w:rsid w:val="00060ADC"/>
    <w:rsid w:val="00063FA8"/>
    <w:rsid w:val="00066614"/>
    <w:rsid w:val="00067F5D"/>
    <w:rsid w:val="000703F7"/>
    <w:rsid w:val="00073BC6"/>
    <w:rsid w:val="00075BE0"/>
    <w:rsid w:val="0008525D"/>
    <w:rsid w:val="0009211C"/>
    <w:rsid w:val="000A0914"/>
    <w:rsid w:val="000A1DF1"/>
    <w:rsid w:val="000A29BC"/>
    <w:rsid w:val="000A43F5"/>
    <w:rsid w:val="000B036D"/>
    <w:rsid w:val="000B0B0F"/>
    <w:rsid w:val="000B164F"/>
    <w:rsid w:val="000C3F25"/>
    <w:rsid w:val="000D2345"/>
    <w:rsid w:val="000D50B3"/>
    <w:rsid w:val="000E3B58"/>
    <w:rsid w:val="00100180"/>
    <w:rsid w:val="0011360A"/>
    <w:rsid w:val="00113634"/>
    <w:rsid w:val="00120CA5"/>
    <w:rsid w:val="0014062B"/>
    <w:rsid w:val="00151D83"/>
    <w:rsid w:val="00164552"/>
    <w:rsid w:val="00166916"/>
    <w:rsid w:val="001705DF"/>
    <w:rsid w:val="00177A13"/>
    <w:rsid w:val="00180F11"/>
    <w:rsid w:val="00185C46"/>
    <w:rsid w:val="00195A91"/>
    <w:rsid w:val="001A343F"/>
    <w:rsid w:val="001A6855"/>
    <w:rsid w:val="001A7680"/>
    <w:rsid w:val="001C36AE"/>
    <w:rsid w:val="001D6EF4"/>
    <w:rsid w:val="001D77C7"/>
    <w:rsid w:val="001E2D57"/>
    <w:rsid w:val="001E5B2C"/>
    <w:rsid w:val="001E63EC"/>
    <w:rsid w:val="001E6A8A"/>
    <w:rsid w:val="001F7843"/>
    <w:rsid w:val="00202DFC"/>
    <w:rsid w:val="0020304A"/>
    <w:rsid w:val="00214353"/>
    <w:rsid w:val="00227C0D"/>
    <w:rsid w:val="00232B51"/>
    <w:rsid w:val="00234833"/>
    <w:rsid w:val="002434B3"/>
    <w:rsid w:val="002434BE"/>
    <w:rsid w:val="00246D54"/>
    <w:rsid w:val="00257FF7"/>
    <w:rsid w:val="00261272"/>
    <w:rsid w:val="00273224"/>
    <w:rsid w:val="00280E3A"/>
    <w:rsid w:val="002817C3"/>
    <w:rsid w:val="002939D0"/>
    <w:rsid w:val="0029522E"/>
    <w:rsid w:val="002959BA"/>
    <w:rsid w:val="002A201E"/>
    <w:rsid w:val="002B1EC5"/>
    <w:rsid w:val="002B4C2E"/>
    <w:rsid w:val="002B51C7"/>
    <w:rsid w:val="002C18B8"/>
    <w:rsid w:val="002D4BE9"/>
    <w:rsid w:val="002D6F4E"/>
    <w:rsid w:val="002E2207"/>
    <w:rsid w:val="00304111"/>
    <w:rsid w:val="00307703"/>
    <w:rsid w:val="00310C38"/>
    <w:rsid w:val="00316363"/>
    <w:rsid w:val="003170C9"/>
    <w:rsid w:val="0033194F"/>
    <w:rsid w:val="00341A7F"/>
    <w:rsid w:val="00343EC0"/>
    <w:rsid w:val="00344AB2"/>
    <w:rsid w:val="0034751C"/>
    <w:rsid w:val="003638AD"/>
    <w:rsid w:val="0037664E"/>
    <w:rsid w:val="00381C63"/>
    <w:rsid w:val="0038543F"/>
    <w:rsid w:val="003875B7"/>
    <w:rsid w:val="003A069C"/>
    <w:rsid w:val="003A5ABE"/>
    <w:rsid w:val="003C1E4B"/>
    <w:rsid w:val="003D0C8C"/>
    <w:rsid w:val="003D76A7"/>
    <w:rsid w:val="003D770F"/>
    <w:rsid w:val="003E4828"/>
    <w:rsid w:val="0040006E"/>
    <w:rsid w:val="00400FCF"/>
    <w:rsid w:val="004025F9"/>
    <w:rsid w:val="0042098C"/>
    <w:rsid w:val="004215E9"/>
    <w:rsid w:val="004245BF"/>
    <w:rsid w:val="0042473B"/>
    <w:rsid w:val="00425EEE"/>
    <w:rsid w:val="004372CF"/>
    <w:rsid w:val="00441CA6"/>
    <w:rsid w:val="0044772D"/>
    <w:rsid w:val="00450140"/>
    <w:rsid w:val="00452C54"/>
    <w:rsid w:val="004604E7"/>
    <w:rsid w:val="004738BB"/>
    <w:rsid w:val="004740AC"/>
    <w:rsid w:val="00475352"/>
    <w:rsid w:val="0048361E"/>
    <w:rsid w:val="00490F48"/>
    <w:rsid w:val="004A02C1"/>
    <w:rsid w:val="004A081C"/>
    <w:rsid w:val="004A6D7F"/>
    <w:rsid w:val="004B0AB5"/>
    <w:rsid w:val="004B2916"/>
    <w:rsid w:val="004B4BD7"/>
    <w:rsid w:val="004C12A6"/>
    <w:rsid w:val="004C3C95"/>
    <w:rsid w:val="00501163"/>
    <w:rsid w:val="00503D3E"/>
    <w:rsid w:val="00505F93"/>
    <w:rsid w:val="00506D6F"/>
    <w:rsid w:val="00514415"/>
    <w:rsid w:val="00515D56"/>
    <w:rsid w:val="005174E5"/>
    <w:rsid w:val="0051784E"/>
    <w:rsid w:val="005210AF"/>
    <w:rsid w:val="005236CA"/>
    <w:rsid w:val="00531215"/>
    <w:rsid w:val="00542BF8"/>
    <w:rsid w:val="00543BE4"/>
    <w:rsid w:val="00552D8C"/>
    <w:rsid w:val="00554943"/>
    <w:rsid w:val="00597694"/>
    <w:rsid w:val="005A47EB"/>
    <w:rsid w:val="005B7AA2"/>
    <w:rsid w:val="005C6156"/>
    <w:rsid w:val="005D03CA"/>
    <w:rsid w:val="005D0D40"/>
    <w:rsid w:val="005D2076"/>
    <w:rsid w:val="005D5DC5"/>
    <w:rsid w:val="005E0368"/>
    <w:rsid w:val="005F1CD1"/>
    <w:rsid w:val="005F1CFE"/>
    <w:rsid w:val="00601781"/>
    <w:rsid w:val="006033B3"/>
    <w:rsid w:val="006048FF"/>
    <w:rsid w:val="006120CD"/>
    <w:rsid w:val="00613517"/>
    <w:rsid w:val="006513EA"/>
    <w:rsid w:val="006625A7"/>
    <w:rsid w:val="00672CA3"/>
    <w:rsid w:val="00674168"/>
    <w:rsid w:val="00676A27"/>
    <w:rsid w:val="00684D63"/>
    <w:rsid w:val="00693E7A"/>
    <w:rsid w:val="006A62DB"/>
    <w:rsid w:val="006B0DD6"/>
    <w:rsid w:val="006B6B7C"/>
    <w:rsid w:val="006F0A28"/>
    <w:rsid w:val="006F227A"/>
    <w:rsid w:val="006F3FCF"/>
    <w:rsid w:val="006F6EC5"/>
    <w:rsid w:val="006F7FA3"/>
    <w:rsid w:val="00700195"/>
    <w:rsid w:val="0073331B"/>
    <w:rsid w:val="00734D16"/>
    <w:rsid w:val="00735FFB"/>
    <w:rsid w:val="00741E8B"/>
    <w:rsid w:val="00746045"/>
    <w:rsid w:val="007546CE"/>
    <w:rsid w:val="00764453"/>
    <w:rsid w:val="0076562B"/>
    <w:rsid w:val="00770EE1"/>
    <w:rsid w:val="00774FA4"/>
    <w:rsid w:val="00776E5B"/>
    <w:rsid w:val="00780F3E"/>
    <w:rsid w:val="007879EA"/>
    <w:rsid w:val="00787EEF"/>
    <w:rsid w:val="007A1217"/>
    <w:rsid w:val="007A2489"/>
    <w:rsid w:val="007A4DF8"/>
    <w:rsid w:val="007B3F62"/>
    <w:rsid w:val="007C4F5C"/>
    <w:rsid w:val="007C7F6E"/>
    <w:rsid w:val="007D2572"/>
    <w:rsid w:val="007D2C56"/>
    <w:rsid w:val="007D3483"/>
    <w:rsid w:val="007D70F1"/>
    <w:rsid w:val="007E10A9"/>
    <w:rsid w:val="007E3597"/>
    <w:rsid w:val="007F1F94"/>
    <w:rsid w:val="008007DC"/>
    <w:rsid w:val="00801A60"/>
    <w:rsid w:val="008061E1"/>
    <w:rsid w:val="008122A2"/>
    <w:rsid w:val="0081658F"/>
    <w:rsid w:val="008201A2"/>
    <w:rsid w:val="00825516"/>
    <w:rsid w:val="00836534"/>
    <w:rsid w:val="0084312C"/>
    <w:rsid w:val="008437CB"/>
    <w:rsid w:val="00846CFA"/>
    <w:rsid w:val="008473AA"/>
    <w:rsid w:val="00854B57"/>
    <w:rsid w:val="00856FB3"/>
    <w:rsid w:val="00857DA9"/>
    <w:rsid w:val="00874223"/>
    <w:rsid w:val="008759B5"/>
    <w:rsid w:val="008957CB"/>
    <w:rsid w:val="008D415F"/>
    <w:rsid w:val="008D7BAF"/>
    <w:rsid w:val="00913EB7"/>
    <w:rsid w:val="00914831"/>
    <w:rsid w:val="00915760"/>
    <w:rsid w:val="00924E59"/>
    <w:rsid w:val="0093098C"/>
    <w:rsid w:val="00937A3E"/>
    <w:rsid w:val="00941290"/>
    <w:rsid w:val="009456B6"/>
    <w:rsid w:val="00950D3C"/>
    <w:rsid w:val="00970474"/>
    <w:rsid w:val="00970BAA"/>
    <w:rsid w:val="0097250B"/>
    <w:rsid w:val="00980581"/>
    <w:rsid w:val="00986CE1"/>
    <w:rsid w:val="00992254"/>
    <w:rsid w:val="0099308A"/>
    <w:rsid w:val="00995130"/>
    <w:rsid w:val="009B0C5B"/>
    <w:rsid w:val="009C2D13"/>
    <w:rsid w:val="009C7213"/>
    <w:rsid w:val="009D4577"/>
    <w:rsid w:val="009E28BB"/>
    <w:rsid w:val="009F000F"/>
    <w:rsid w:val="009F0F51"/>
    <w:rsid w:val="009F44E4"/>
    <w:rsid w:val="009F7EA4"/>
    <w:rsid w:val="00A00DCE"/>
    <w:rsid w:val="00A04956"/>
    <w:rsid w:val="00A05A7D"/>
    <w:rsid w:val="00A069BE"/>
    <w:rsid w:val="00A10728"/>
    <w:rsid w:val="00A1753F"/>
    <w:rsid w:val="00A23155"/>
    <w:rsid w:val="00A27036"/>
    <w:rsid w:val="00A563D4"/>
    <w:rsid w:val="00A61CE9"/>
    <w:rsid w:val="00A802FF"/>
    <w:rsid w:val="00A823D9"/>
    <w:rsid w:val="00A85402"/>
    <w:rsid w:val="00A86965"/>
    <w:rsid w:val="00A90BC6"/>
    <w:rsid w:val="00A92B84"/>
    <w:rsid w:val="00AA4A5F"/>
    <w:rsid w:val="00AA60A3"/>
    <w:rsid w:val="00AB3D2D"/>
    <w:rsid w:val="00AD21B9"/>
    <w:rsid w:val="00AD4BB0"/>
    <w:rsid w:val="00AD676A"/>
    <w:rsid w:val="00AE0604"/>
    <w:rsid w:val="00AE5E00"/>
    <w:rsid w:val="00AF7AFF"/>
    <w:rsid w:val="00AF7E30"/>
    <w:rsid w:val="00B0184B"/>
    <w:rsid w:val="00B023DF"/>
    <w:rsid w:val="00B133B8"/>
    <w:rsid w:val="00B21296"/>
    <w:rsid w:val="00B260A0"/>
    <w:rsid w:val="00B37284"/>
    <w:rsid w:val="00B42126"/>
    <w:rsid w:val="00B54BF8"/>
    <w:rsid w:val="00B63344"/>
    <w:rsid w:val="00B656DA"/>
    <w:rsid w:val="00B7110B"/>
    <w:rsid w:val="00B81095"/>
    <w:rsid w:val="00B84688"/>
    <w:rsid w:val="00B85666"/>
    <w:rsid w:val="00B875EC"/>
    <w:rsid w:val="00B939C5"/>
    <w:rsid w:val="00BB233B"/>
    <w:rsid w:val="00BB775F"/>
    <w:rsid w:val="00BC0397"/>
    <w:rsid w:val="00BC7FF2"/>
    <w:rsid w:val="00BE50CF"/>
    <w:rsid w:val="00BF7AD5"/>
    <w:rsid w:val="00C01DB5"/>
    <w:rsid w:val="00C04458"/>
    <w:rsid w:val="00C1262D"/>
    <w:rsid w:val="00C1474A"/>
    <w:rsid w:val="00C20049"/>
    <w:rsid w:val="00C20DCA"/>
    <w:rsid w:val="00C37D6A"/>
    <w:rsid w:val="00C42AB5"/>
    <w:rsid w:val="00C43A2D"/>
    <w:rsid w:val="00C51C43"/>
    <w:rsid w:val="00C56946"/>
    <w:rsid w:val="00C6228E"/>
    <w:rsid w:val="00C62B8C"/>
    <w:rsid w:val="00C6337D"/>
    <w:rsid w:val="00C7512A"/>
    <w:rsid w:val="00C82408"/>
    <w:rsid w:val="00C90983"/>
    <w:rsid w:val="00C94753"/>
    <w:rsid w:val="00CA3240"/>
    <w:rsid w:val="00CA51E4"/>
    <w:rsid w:val="00CB2789"/>
    <w:rsid w:val="00CB4972"/>
    <w:rsid w:val="00CC2155"/>
    <w:rsid w:val="00CD296E"/>
    <w:rsid w:val="00CD5991"/>
    <w:rsid w:val="00D03874"/>
    <w:rsid w:val="00D100B6"/>
    <w:rsid w:val="00D12C73"/>
    <w:rsid w:val="00D14096"/>
    <w:rsid w:val="00D226B3"/>
    <w:rsid w:val="00D2508B"/>
    <w:rsid w:val="00D26B7A"/>
    <w:rsid w:val="00D30BAC"/>
    <w:rsid w:val="00D3220D"/>
    <w:rsid w:val="00D4057C"/>
    <w:rsid w:val="00D468A9"/>
    <w:rsid w:val="00D62E80"/>
    <w:rsid w:val="00D71310"/>
    <w:rsid w:val="00D81686"/>
    <w:rsid w:val="00D871FE"/>
    <w:rsid w:val="00D9035B"/>
    <w:rsid w:val="00DA02FE"/>
    <w:rsid w:val="00DB410C"/>
    <w:rsid w:val="00DC03C6"/>
    <w:rsid w:val="00DD1F77"/>
    <w:rsid w:val="00DD3A7F"/>
    <w:rsid w:val="00DD7E43"/>
    <w:rsid w:val="00DF390E"/>
    <w:rsid w:val="00DF5C3F"/>
    <w:rsid w:val="00E00EAF"/>
    <w:rsid w:val="00E2270A"/>
    <w:rsid w:val="00E25DD6"/>
    <w:rsid w:val="00E2625A"/>
    <w:rsid w:val="00E30EC2"/>
    <w:rsid w:val="00E3346C"/>
    <w:rsid w:val="00E33C87"/>
    <w:rsid w:val="00E34595"/>
    <w:rsid w:val="00E353D0"/>
    <w:rsid w:val="00E442CC"/>
    <w:rsid w:val="00E5559D"/>
    <w:rsid w:val="00E6663F"/>
    <w:rsid w:val="00E83679"/>
    <w:rsid w:val="00E84709"/>
    <w:rsid w:val="00E920C8"/>
    <w:rsid w:val="00E93161"/>
    <w:rsid w:val="00E94901"/>
    <w:rsid w:val="00E96627"/>
    <w:rsid w:val="00EA49EA"/>
    <w:rsid w:val="00EA60BD"/>
    <w:rsid w:val="00EA64FA"/>
    <w:rsid w:val="00EB1BF5"/>
    <w:rsid w:val="00ED0BF5"/>
    <w:rsid w:val="00ED4E71"/>
    <w:rsid w:val="00EE74ED"/>
    <w:rsid w:val="00F11630"/>
    <w:rsid w:val="00F21DEA"/>
    <w:rsid w:val="00F34834"/>
    <w:rsid w:val="00F4084C"/>
    <w:rsid w:val="00F45B1E"/>
    <w:rsid w:val="00F52B3F"/>
    <w:rsid w:val="00F53429"/>
    <w:rsid w:val="00F55FC3"/>
    <w:rsid w:val="00F57545"/>
    <w:rsid w:val="00F61ABF"/>
    <w:rsid w:val="00F6253C"/>
    <w:rsid w:val="00F63104"/>
    <w:rsid w:val="00F826A6"/>
    <w:rsid w:val="00F863AE"/>
    <w:rsid w:val="00FA2FDD"/>
    <w:rsid w:val="00FA36CF"/>
    <w:rsid w:val="00FA7194"/>
    <w:rsid w:val="00FB4ED9"/>
    <w:rsid w:val="00FB5E86"/>
    <w:rsid w:val="00FC2BDF"/>
    <w:rsid w:val="00FC4250"/>
    <w:rsid w:val="00FD3832"/>
    <w:rsid w:val="00FD51D5"/>
    <w:rsid w:val="00FF4E4B"/>
    <w:rsid w:val="01541DDE"/>
    <w:rsid w:val="05137986"/>
    <w:rsid w:val="097035F9"/>
    <w:rsid w:val="0C324B95"/>
    <w:rsid w:val="0D221DD0"/>
    <w:rsid w:val="0E226E33"/>
    <w:rsid w:val="0F1D7D7F"/>
    <w:rsid w:val="10775C30"/>
    <w:rsid w:val="110A60E1"/>
    <w:rsid w:val="116C28F7"/>
    <w:rsid w:val="199E7D0E"/>
    <w:rsid w:val="1A710BAE"/>
    <w:rsid w:val="1A77199D"/>
    <w:rsid w:val="1E4C5F8A"/>
    <w:rsid w:val="1F282554"/>
    <w:rsid w:val="20CA4174"/>
    <w:rsid w:val="24042E63"/>
    <w:rsid w:val="24F66C50"/>
    <w:rsid w:val="25A22934"/>
    <w:rsid w:val="273D0B66"/>
    <w:rsid w:val="28111FC3"/>
    <w:rsid w:val="2ABB3F19"/>
    <w:rsid w:val="2B9A5977"/>
    <w:rsid w:val="2DB57C7C"/>
    <w:rsid w:val="2E3B56D4"/>
    <w:rsid w:val="2E666BF4"/>
    <w:rsid w:val="2E8251AE"/>
    <w:rsid w:val="3578083A"/>
    <w:rsid w:val="37FF1100"/>
    <w:rsid w:val="38BC70C5"/>
    <w:rsid w:val="39557F91"/>
    <w:rsid w:val="39FC665F"/>
    <w:rsid w:val="3A1F40FB"/>
    <w:rsid w:val="3CB90837"/>
    <w:rsid w:val="3DB35286"/>
    <w:rsid w:val="3F487C50"/>
    <w:rsid w:val="3F731171"/>
    <w:rsid w:val="3F9F5DE8"/>
    <w:rsid w:val="43BF6C09"/>
    <w:rsid w:val="43C7207E"/>
    <w:rsid w:val="44A616A1"/>
    <w:rsid w:val="45A8057B"/>
    <w:rsid w:val="46A71700"/>
    <w:rsid w:val="47FEDF98"/>
    <w:rsid w:val="4CD46598"/>
    <w:rsid w:val="4EAF1A9A"/>
    <w:rsid w:val="505F4DFA"/>
    <w:rsid w:val="52F8408B"/>
    <w:rsid w:val="53395DD6"/>
    <w:rsid w:val="542317F2"/>
    <w:rsid w:val="546D3F89"/>
    <w:rsid w:val="547450D0"/>
    <w:rsid w:val="55875262"/>
    <w:rsid w:val="55BD684B"/>
    <w:rsid w:val="575844CD"/>
    <w:rsid w:val="57BFCC45"/>
    <w:rsid w:val="59556E50"/>
    <w:rsid w:val="5A56726E"/>
    <w:rsid w:val="5ECE7D1A"/>
    <w:rsid w:val="5ED05841"/>
    <w:rsid w:val="606D5311"/>
    <w:rsid w:val="679B09B6"/>
    <w:rsid w:val="69933805"/>
    <w:rsid w:val="6B0C2EC6"/>
    <w:rsid w:val="6B0C4399"/>
    <w:rsid w:val="6BF2339B"/>
    <w:rsid w:val="6C417D7E"/>
    <w:rsid w:val="6D365409"/>
    <w:rsid w:val="6DEFFF77"/>
    <w:rsid w:val="6E737F96"/>
    <w:rsid w:val="6F1B2B08"/>
    <w:rsid w:val="6F7D671F"/>
    <w:rsid w:val="72B5428E"/>
    <w:rsid w:val="73813156"/>
    <w:rsid w:val="74F70F9C"/>
    <w:rsid w:val="75AD3289"/>
    <w:rsid w:val="7BFBFB09"/>
    <w:rsid w:val="7F3B065C"/>
    <w:rsid w:val="7FBF1117"/>
    <w:rsid w:val="7FC95C68"/>
    <w:rsid w:val="AC6DF9B2"/>
    <w:rsid w:val="B47BD47D"/>
    <w:rsid w:val="B7ED9872"/>
    <w:rsid w:val="B7FF709A"/>
    <w:rsid w:val="B8D75146"/>
    <w:rsid w:val="BA0BF262"/>
    <w:rsid w:val="C3E6E6DB"/>
    <w:rsid w:val="DFF701B3"/>
    <w:rsid w:val="E3BE0E7F"/>
    <w:rsid w:val="EBE71591"/>
    <w:rsid w:val="EEEFBEB1"/>
    <w:rsid w:val="EFE5035C"/>
    <w:rsid w:val="F7CF6D07"/>
    <w:rsid w:val="F7DB4D1E"/>
    <w:rsid w:val="FBCF87C9"/>
    <w:rsid w:val="FCCA7427"/>
    <w:rsid w:val="FEFF2539"/>
    <w:rsid w:val="FF27B7CA"/>
    <w:rsid w:val="FF7A6081"/>
    <w:rsid w:val="FF7B069A"/>
    <w:rsid w:val="FFB86C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widowControl/>
      <w:spacing w:before="340" w:after="330" w:line="576" w:lineRule="auto"/>
      <w:jc w:val="left"/>
      <w:outlineLvl w:val="0"/>
    </w:pPr>
    <w:rPr>
      <w:rFonts w:ascii="Calibri" w:hAnsi="Calibri" w:eastAsia="宋体" w:cs="Times New Roman"/>
      <w:b/>
      <w:bCs/>
      <w:kern w:val="44"/>
      <w:sz w:val="44"/>
      <w:szCs w:val="44"/>
    </w:rPr>
  </w:style>
  <w:style w:type="paragraph" w:styleId="3">
    <w:name w:val="heading 2"/>
    <w:basedOn w:val="1"/>
    <w:next w:val="1"/>
    <w:link w:val="26"/>
    <w:qFormat/>
    <w:uiPriority w:val="9"/>
    <w:pPr>
      <w:keepNext/>
      <w:keepLines/>
      <w:widowControl/>
      <w:spacing w:before="260" w:after="260" w:line="413" w:lineRule="auto"/>
      <w:jc w:val="left"/>
      <w:outlineLvl w:val="1"/>
    </w:pPr>
    <w:rPr>
      <w:rFonts w:ascii="Arial" w:hAnsi="Arial" w:eastAsia="黑体" w:cs="Times New Roman"/>
      <w:b/>
      <w:bCs/>
      <w:sz w:val="32"/>
      <w:szCs w:val="32"/>
    </w:rPr>
  </w:style>
  <w:style w:type="paragraph" w:styleId="4">
    <w:name w:val="heading 3"/>
    <w:basedOn w:val="1"/>
    <w:next w:val="1"/>
    <w:link w:val="24"/>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widowControl/>
      <w:spacing w:before="280" w:after="290" w:line="376" w:lineRule="auto"/>
      <w:jc w:val="left"/>
      <w:outlineLvl w:val="3"/>
    </w:pPr>
    <w:rPr>
      <w:rFonts w:asciiTheme="majorHAnsi" w:hAnsiTheme="majorHAnsi" w:eastAsiaTheme="majorEastAsia" w:cstheme="majorBidi"/>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8"/>
    <w:semiHidden/>
    <w:unhideWhenUsed/>
    <w:qFormat/>
    <w:uiPriority w:val="99"/>
    <w:rPr>
      <w:rFonts w:ascii="宋体" w:eastAsia="宋体"/>
      <w:sz w:val="18"/>
      <w:szCs w:val="18"/>
    </w:rPr>
  </w:style>
  <w:style w:type="paragraph" w:styleId="7">
    <w:name w:val="annotation text"/>
    <w:basedOn w:val="1"/>
    <w:link w:val="28"/>
    <w:qFormat/>
    <w:uiPriority w:val="99"/>
    <w:pPr>
      <w:widowControl/>
      <w:jc w:val="left"/>
    </w:pPr>
    <w:rPr>
      <w:szCs w:val="24"/>
    </w:rPr>
  </w:style>
  <w:style w:type="paragraph" w:styleId="8">
    <w:name w:val="Balloon Text"/>
    <w:basedOn w:val="1"/>
    <w:link w:val="33"/>
    <w:semiHidden/>
    <w:unhideWhenUsed/>
    <w:qFormat/>
    <w:uiPriority w:val="99"/>
    <w:pPr>
      <w:widowControl/>
      <w:jc w:val="left"/>
    </w:pPr>
    <w:rPr>
      <w:rFonts w:ascii="Calibri" w:hAnsi="Calibri" w:eastAsia="仿宋" w:cs="Times New Roman"/>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paragraph" w:styleId="13">
    <w:name w:val="Title"/>
    <w:basedOn w:val="1"/>
    <w:next w:val="1"/>
    <w:link w:val="36"/>
    <w:qFormat/>
    <w:uiPriority w:val="10"/>
    <w:pPr>
      <w:spacing w:before="240" w:after="60"/>
      <w:jc w:val="center"/>
      <w:outlineLvl w:val="0"/>
    </w:pPr>
    <w:rPr>
      <w:rFonts w:eastAsia="宋体" w:asciiTheme="majorHAnsi" w:hAnsiTheme="majorHAnsi" w:cstheme="majorBidi"/>
      <w:b/>
      <w:bCs/>
      <w:sz w:val="32"/>
      <w:szCs w:val="32"/>
    </w:rPr>
  </w:style>
  <w:style w:type="paragraph" w:styleId="14">
    <w:name w:val="annotation subject"/>
    <w:basedOn w:val="7"/>
    <w:next w:val="7"/>
    <w:link w:val="41"/>
    <w:semiHidden/>
    <w:unhideWhenUsed/>
    <w:qFormat/>
    <w:uiPriority w:val="99"/>
    <w:pPr>
      <w:widowControl w:val="0"/>
    </w:pPr>
    <w:rPr>
      <w:b/>
      <w:bCs/>
      <w:szCs w:val="2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rPr>
  </w:style>
  <w:style w:type="character" w:styleId="19">
    <w:name w:val="Emphasis"/>
    <w:basedOn w:val="17"/>
    <w:qFormat/>
    <w:uiPriority w:val="20"/>
    <w:rPr>
      <w:i/>
    </w:rPr>
  </w:style>
  <w:style w:type="character" w:styleId="20">
    <w:name w:val="Hyperlink"/>
    <w:basedOn w:val="17"/>
    <w:unhideWhenUsed/>
    <w:qFormat/>
    <w:uiPriority w:val="99"/>
    <w:rPr>
      <w:color w:val="0000FF" w:themeColor="hyperlink"/>
      <w:u w:val="single"/>
      <w14:textFill>
        <w14:solidFill>
          <w14:schemeClr w14:val="hlink"/>
        </w14:solidFill>
      </w14:textFill>
    </w:rPr>
  </w:style>
  <w:style w:type="character" w:styleId="21">
    <w:name w:val="annotation reference"/>
    <w:qFormat/>
    <w:uiPriority w:val="99"/>
    <w:rPr>
      <w:sz w:val="21"/>
      <w:szCs w:val="21"/>
    </w:rPr>
  </w:style>
  <w:style w:type="character" w:customStyle="1" w:styleId="22">
    <w:name w:val="页眉 字符"/>
    <w:basedOn w:val="17"/>
    <w:link w:val="10"/>
    <w:qFormat/>
    <w:uiPriority w:val="99"/>
    <w:rPr>
      <w:sz w:val="18"/>
      <w:szCs w:val="18"/>
    </w:rPr>
  </w:style>
  <w:style w:type="character" w:customStyle="1" w:styleId="23">
    <w:name w:val="页脚 字符"/>
    <w:basedOn w:val="17"/>
    <w:link w:val="9"/>
    <w:qFormat/>
    <w:uiPriority w:val="99"/>
    <w:rPr>
      <w:sz w:val="18"/>
      <w:szCs w:val="18"/>
    </w:rPr>
  </w:style>
  <w:style w:type="character" w:customStyle="1" w:styleId="24">
    <w:name w:val="标题 3 字符"/>
    <w:basedOn w:val="17"/>
    <w:link w:val="4"/>
    <w:semiHidden/>
    <w:qFormat/>
    <w:uiPriority w:val="9"/>
    <w:rPr>
      <w:b/>
      <w:bCs/>
      <w:sz w:val="32"/>
      <w:szCs w:val="32"/>
    </w:rPr>
  </w:style>
  <w:style w:type="character" w:customStyle="1" w:styleId="25">
    <w:name w:val="标题 1 字符"/>
    <w:basedOn w:val="17"/>
    <w:link w:val="2"/>
    <w:qFormat/>
    <w:uiPriority w:val="9"/>
    <w:rPr>
      <w:rFonts w:ascii="Calibri" w:hAnsi="Calibri" w:eastAsia="宋体" w:cs="Times New Roman"/>
      <w:b/>
      <w:bCs/>
      <w:kern w:val="44"/>
      <w:sz w:val="44"/>
      <w:szCs w:val="44"/>
    </w:rPr>
  </w:style>
  <w:style w:type="character" w:customStyle="1" w:styleId="26">
    <w:name w:val="标题 2 字符"/>
    <w:basedOn w:val="17"/>
    <w:link w:val="3"/>
    <w:qFormat/>
    <w:uiPriority w:val="9"/>
    <w:rPr>
      <w:rFonts w:ascii="Arial" w:hAnsi="Arial" w:eastAsia="黑体" w:cs="Times New Roman"/>
      <w:b/>
      <w:bCs/>
      <w:sz w:val="32"/>
      <w:szCs w:val="32"/>
    </w:rPr>
  </w:style>
  <w:style w:type="character" w:customStyle="1" w:styleId="27">
    <w:name w:val="标题 4 字符"/>
    <w:basedOn w:val="17"/>
    <w:link w:val="5"/>
    <w:qFormat/>
    <w:uiPriority w:val="9"/>
    <w:rPr>
      <w:rFonts w:asciiTheme="majorHAnsi" w:hAnsiTheme="majorHAnsi" w:eastAsiaTheme="majorEastAsia" w:cstheme="majorBidi"/>
      <w:b/>
      <w:bCs/>
      <w:sz w:val="28"/>
      <w:szCs w:val="28"/>
    </w:rPr>
  </w:style>
  <w:style w:type="character" w:customStyle="1" w:styleId="28">
    <w:name w:val="批注文字 字符"/>
    <w:link w:val="7"/>
    <w:qFormat/>
    <w:uiPriority w:val="99"/>
    <w:rPr>
      <w:szCs w:val="24"/>
    </w:rPr>
  </w:style>
  <w:style w:type="character" w:customStyle="1" w:styleId="29">
    <w:name w:val="批注文字 Char1"/>
    <w:basedOn w:val="17"/>
    <w:semiHidden/>
    <w:qFormat/>
    <w:uiPriority w:val="99"/>
  </w:style>
  <w:style w:type="paragraph" w:customStyle="1" w:styleId="30">
    <w:name w:val="列表段落1"/>
    <w:basedOn w:val="1"/>
    <w:link w:val="32"/>
    <w:qFormat/>
    <w:uiPriority w:val="99"/>
    <w:pPr>
      <w:widowControl/>
      <w:spacing w:line="360" w:lineRule="auto"/>
      <w:ind w:firstLine="420" w:firstLineChars="200"/>
      <w:jc w:val="left"/>
    </w:pPr>
    <w:rPr>
      <w:rFonts w:ascii="Calibri" w:hAnsi="Calibri" w:eastAsia="微软雅黑" w:cs="Times New Roman"/>
      <w:sz w:val="24"/>
    </w:rPr>
  </w:style>
  <w:style w:type="character" w:customStyle="1" w:styleId="31">
    <w:name w:val="标题 3 Char2"/>
    <w:qFormat/>
    <w:uiPriority w:val="0"/>
    <w:rPr>
      <w:rFonts w:ascii="Calibri" w:hAnsi="Calibri" w:eastAsia="宋体" w:cs="Times New Roman"/>
      <w:b/>
      <w:bCs/>
      <w:sz w:val="32"/>
      <w:szCs w:val="32"/>
    </w:rPr>
  </w:style>
  <w:style w:type="character" w:customStyle="1" w:styleId="32">
    <w:name w:val="列表段落 字符"/>
    <w:link w:val="30"/>
    <w:qFormat/>
    <w:uiPriority w:val="99"/>
    <w:rPr>
      <w:rFonts w:ascii="Calibri" w:hAnsi="Calibri" w:eastAsia="微软雅黑" w:cs="Times New Roman"/>
      <w:sz w:val="24"/>
    </w:rPr>
  </w:style>
  <w:style w:type="character" w:customStyle="1" w:styleId="33">
    <w:name w:val="批注框文本 字符"/>
    <w:basedOn w:val="17"/>
    <w:link w:val="8"/>
    <w:semiHidden/>
    <w:qFormat/>
    <w:uiPriority w:val="99"/>
    <w:rPr>
      <w:rFonts w:ascii="Calibri" w:hAnsi="Calibri" w:eastAsia="仿宋" w:cs="Times New Roman"/>
      <w:sz w:val="18"/>
      <w:szCs w:val="18"/>
    </w:rPr>
  </w:style>
  <w:style w:type="paragraph" w:customStyle="1" w:styleId="34">
    <w:name w:val="列出段落1"/>
    <w:basedOn w:val="1"/>
    <w:qFormat/>
    <w:uiPriority w:val="34"/>
    <w:pPr>
      <w:ind w:firstLine="420" w:firstLineChars="200"/>
    </w:pPr>
    <w:rPr>
      <w:rFonts w:ascii="Calibri" w:hAnsi="Calibri" w:eastAsia="宋体" w:cs="Calibri"/>
      <w:szCs w:val="21"/>
    </w:rPr>
  </w:style>
  <w:style w:type="paragraph" w:styleId="35">
    <w:name w:val="List Paragraph"/>
    <w:basedOn w:val="1"/>
    <w:qFormat/>
    <w:uiPriority w:val="34"/>
    <w:pPr>
      <w:ind w:firstLine="420" w:firstLineChars="200"/>
    </w:pPr>
    <w:rPr>
      <w:rFonts w:ascii="Times New Roman" w:hAnsi="Times New Roman" w:eastAsia="宋体" w:cs="Times New Roman"/>
      <w:szCs w:val="24"/>
    </w:rPr>
  </w:style>
  <w:style w:type="character" w:customStyle="1" w:styleId="36">
    <w:name w:val="标题 字符"/>
    <w:basedOn w:val="17"/>
    <w:link w:val="13"/>
    <w:qFormat/>
    <w:uiPriority w:val="10"/>
    <w:rPr>
      <w:rFonts w:eastAsia="宋体" w:asciiTheme="majorHAnsi" w:hAnsiTheme="majorHAnsi" w:cstheme="majorBidi"/>
      <w:b/>
      <w:bCs/>
      <w:sz w:val="32"/>
      <w:szCs w:val="32"/>
    </w:rPr>
  </w:style>
  <w:style w:type="table" w:customStyle="1" w:styleId="3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8">
    <w:name w:val="文档结构图 字符"/>
    <w:basedOn w:val="17"/>
    <w:link w:val="6"/>
    <w:semiHidden/>
    <w:qFormat/>
    <w:uiPriority w:val="99"/>
    <w:rPr>
      <w:rFonts w:ascii="宋体" w:eastAsia="宋体"/>
      <w:sz w:val="18"/>
      <w:szCs w:val="18"/>
    </w:rPr>
  </w:style>
  <w:style w:type="paragraph" w:customStyle="1" w:styleId="39">
    <w:name w:val="表格中文"/>
    <w:link w:val="40"/>
    <w:qFormat/>
    <w:locked/>
    <w:uiPriority w:val="0"/>
    <w:pPr>
      <w:spacing w:line="240" w:lineRule="atLeast"/>
    </w:pPr>
    <w:rPr>
      <w:rFonts w:ascii="Verdana" w:hAnsi="Verdana" w:eastAsia="宋体" w:cs="Times New Roman"/>
      <w:sz w:val="18"/>
      <w:szCs w:val="18"/>
      <w:lang w:val="en-US" w:eastAsia="zh-CN" w:bidi="ar-SA"/>
    </w:rPr>
  </w:style>
  <w:style w:type="character" w:customStyle="1" w:styleId="40">
    <w:name w:val="表格中文 Char"/>
    <w:link w:val="39"/>
    <w:qFormat/>
    <w:uiPriority w:val="0"/>
    <w:rPr>
      <w:rFonts w:ascii="Verdana" w:hAnsi="Verdana" w:eastAsia="宋体" w:cs="Times New Roman"/>
      <w:kern w:val="0"/>
      <w:sz w:val="18"/>
      <w:szCs w:val="18"/>
    </w:rPr>
  </w:style>
  <w:style w:type="character" w:customStyle="1" w:styleId="41">
    <w:name w:val="批注主题 字符"/>
    <w:basedOn w:val="28"/>
    <w:link w:val="14"/>
    <w:semiHidden/>
    <w:qFormat/>
    <w:uiPriority w:val="99"/>
    <w:rPr>
      <w:b/>
      <w:bCs/>
      <w:szCs w:val="24"/>
    </w:rPr>
  </w:style>
  <w:style w:type="character" w:customStyle="1" w:styleId="42">
    <w:name w:val="书籍标题1"/>
    <w:basedOn w:val="17"/>
    <w:qFormat/>
    <w:uiPriority w:val="33"/>
    <w:rPr>
      <w:b/>
      <w:bCs/>
      <w:smallCaps/>
      <w:spacing w:val="5"/>
    </w:rPr>
  </w:style>
  <w:style w:type="paragraph" w:customStyle="1" w:styleId="43">
    <w:name w:val="修订1"/>
    <w:hidden/>
    <w:semiHidden/>
    <w:qFormat/>
    <w:uiPriority w:val="99"/>
    <w:rPr>
      <w:rFonts w:ascii="Calibri" w:hAnsi="Calibri" w:eastAsia="宋体" w:cs="Times New Roman"/>
      <w:kern w:val="2"/>
      <w:sz w:val="21"/>
      <w:szCs w:val="22"/>
      <w:lang w:val="en-US" w:eastAsia="zh-CN" w:bidi="ar-SA"/>
    </w:rPr>
  </w:style>
  <w:style w:type="paragraph" w:customStyle="1" w:styleId="44">
    <w:name w:val="TOC 标题1"/>
    <w:basedOn w:val="2"/>
    <w:next w:val="1"/>
    <w:semiHidden/>
    <w:unhideWhenUsed/>
    <w:qFormat/>
    <w:uiPriority w:val="39"/>
    <w:pPr>
      <w:spacing w:before="480" w:after="0" w:line="276" w:lineRule="auto"/>
      <w:outlineLvl w:val="9"/>
    </w:pPr>
    <w:rPr>
      <w:rFonts w:asciiTheme="majorHAnsi" w:hAnsiTheme="majorHAnsi" w:eastAsiaTheme="majorEastAsia" w:cstheme="majorBidi"/>
      <w:color w:val="376092" w:themeColor="accent1" w:themeShade="BF"/>
      <w:kern w:val="0"/>
      <w:sz w:val="28"/>
      <w:szCs w:val="28"/>
    </w:rPr>
  </w:style>
  <w:style w:type="character" w:customStyle="1" w:styleId="45">
    <w:name w:val="15"/>
    <w:basedOn w:val="17"/>
    <w:qFormat/>
    <w:uiPriority w:val="0"/>
    <w:rPr>
      <w:rFonts w:hint="default" w:ascii="Times New Roman" w:hAnsi="Times New Roman" w:eastAsia="宋体" w:cs="Times New Roman"/>
      <w:kern w:val="1"/>
      <w:sz w:val="24"/>
      <w:szCs w:val="24"/>
    </w:rPr>
  </w:style>
  <w:style w:type="paragraph" w:customStyle="1" w:styleId="46">
    <w:name w:val="修订2"/>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7">
    <w:name w:val="修订3"/>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8">
    <w:name w:val="修订4"/>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9">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1484</Words>
  <Characters>8464</Characters>
  <Lines>70</Lines>
  <Paragraphs>19</Paragraphs>
  <TotalTime>89</TotalTime>
  <ScaleCrop>false</ScaleCrop>
  <LinksUpToDate>false</LinksUpToDate>
  <CharactersWithSpaces>9929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2024-12-08T15:06:00Z</dcterms:created>
  <dc:creator>毛颖颖</dc:creator>
  <cp:lastModifiedBy>pkw</cp:lastModifiedBy>
  <cp:lastPrinted>2024-12-08T09:23:00Z</cp:lastPrinted>
  <dcterms:modified xsi:type="dcterms:W3CDTF">2025-01-15T10:48:23Z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B37DBE8C217E4C6B82885FE95C8209BE_12</vt:lpwstr>
  </property>
</Properties>
</file>