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6" w:rsidRDefault="009D5076" w:rsidP="009D5076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国内互联网接入服务产品报价</w:t>
      </w: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264"/>
        <w:gridCol w:w="1516"/>
        <w:gridCol w:w="1685"/>
        <w:gridCol w:w="1007"/>
        <w:gridCol w:w="2940"/>
      </w:tblGrid>
      <w:tr w:rsidR="009D5076" w:rsidTr="0079386F">
        <w:trPr>
          <w:trHeight w:val="2166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带宽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最低可提供公网固定IP地址数量（个）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目前执行</w:t>
            </w:r>
          </w:p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合同价</w:t>
            </w:r>
          </w:p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折扣后价格</w:t>
            </w:r>
          </w:p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(年）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折扣率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  <w:p w:rsidR="009D5076" w:rsidRDefault="009D5076" w:rsidP="0079386F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（接入方式）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NET50M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￥20000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￥16000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80%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NET100M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￥30000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￥24000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NET200M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￥40000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￥32000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kern w:val="0"/>
                <w:sz w:val="24"/>
                <w:szCs w:val="24"/>
              </w:rPr>
              <w:t>10M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kern w:val="0"/>
                <w:sz w:val="24"/>
                <w:szCs w:val="24"/>
                <w:lang w:bidi="ar"/>
              </w:rPr>
              <w:t>￥20000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kern w:val="0"/>
                <w:sz w:val="24"/>
                <w:szCs w:val="24"/>
                <w:lang w:bidi="ar"/>
              </w:rPr>
              <w:t>￥16000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20M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￥30000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￥24000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50M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￥50000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￥40000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70M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￥60000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  <w:lang w:bidi="ar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￥48000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100M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￥78000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￥62400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200M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￥190000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￥152000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59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300M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￥275000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￥220000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</w:t>
            </w:r>
          </w:p>
        </w:tc>
      </w:tr>
      <w:tr w:rsidR="009D5076" w:rsidTr="0079386F">
        <w:trPr>
          <w:trHeight w:val="672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500M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￥350000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F17F72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bCs/>
                <w:kern w:val="0"/>
                <w:sz w:val="24"/>
                <w:szCs w:val="24"/>
                <w:lang w:bidi="ar"/>
              </w:rPr>
              <w:t>￥280000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Default="009D5076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光缆+光模块+双链热备</w:t>
            </w:r>
          </w:p>
        </w:tc>
      </w:tr>
      <w:tr w:rsidR="009D5076" w:rsidTr="0079386F">
        <w:trPr>
          <w:trHeight w:val="653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1G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256/1C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  <w:lang w:bidi="ar"/>
              </w:rPr>
              <w:t>￥675000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  <w:lang w:bidi="ar"/>
              </w:rPr>
              <w:t>￥540000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光缆+光模块+双链热备</w:t>
            </w:r>
          </w:p>
        </w:tc>
      </w:tr>
      <w:tr w:rsidR="009D5076" w:rsidTr="0079386F">
        <w:trPr>
          <w:trHeight w:val="730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1.2G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256/1C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￥800000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￥640000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光缆+光模块+双链热备</w:t>
            </w:r>
          </w:p>
        </w:tc>
      </w:tr>
      <w:tr w:rsidR="009D5076" w:rsidTr="0079386F">
        <w:trPr>
          <w:trHeight w:val="770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1.5G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256/1C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￥975000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￥780000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光缆+光模块+双链热备</w:t>
            </w:r>
          </w:p>
        </w:tc>
      </w:tr>
      <w:tr w:rsidR="009D5076" w:rsidTr="0079386F">
        <w:trPr>
          <w:trHeight w:val="777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2G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512/2C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￥1200000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textAlignment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￥960000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76" w:rsidRPr="00C11D4A" w:rsidRDefault="009D5076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C11D4A">
              <w:rPr>
                <w:rFonts w:cs="宋体" w:hint="eastAsia"/>
                <w:b/>
                <w:kern w:val="0"/>
                <w:sz w:val="24"/>
                <w:szCs w:val="24"/>
              </w:rPr>
              <w:t>光缆+光模块+双链热备</w:t>
            </w:r>
          </w:p>
        </w:tc>
      </w:tr>
    </w:tbl>
    <w:p w:rsidR="009D5076" w:rsidRDefault="009D5076" w:rsidP="009D5076">
      <w:pPr>
        <w:rPr>
          <w:b/>
          <w:sz w:val="28"/>
        </w:rPr>
      </w:pPr>
    </w:p>
    <w:p w:rsidR="009D5076" w:rsidRPr="00300630" w:rsidRDefault="009D5076" w:rsidP="009D5076">
      <w:pPr>
        <w:jc w:val="center"/>
        <w:rPr>
          <w:b/>
          <w:color w:val="000000"/>
          <w:sz w:val="28"/>
        </w:rPr>
      </w:pPr>
      <w:r w:rsidRPr="00300630">
        <w:rPr>
          <w:rFonts w:hint="eastAsia"/>
          <w:b/>
          <w:sz w:val="28"/>
        </w:rPr>
        <w:t>服务承诺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光通合创（北京）网络科技有限公司为客户提供的互联组网接入方案除标准服务外，还将为采购人提供如下个性服务：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1、可根据采购方业务需求及要求，满足采购方对的IP地址的需求（联通、电信、移动三向广播IP地址）。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2、当采购人有重大活动或应急活动需临时扩容带宽时，投标人可提供无限次、无限带宽（设备冗余为上限）的有偿扩容服务，或免费提供12次/年的临时扩容服务，具体细则如下：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200"/>
        <w:rPr>
          <w:sz w:val="24"/>
          <w:szCs w:val="24"/>
        </w:rPr>
      </w:pPr>
      <w:r>
        <w:rPr>
          <w:rFonts w:hint="eastAsia"/>
          <w:sz w:val="24"/>
          <w:szCs w:val="24"/>
        </w:rPr>
        <w:t>2.1免费临时扩容带宽可扩容至原合约带宽的200%；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200"/>
        <w:rPr>
          <w:sz w:val="24"/>
          <w:szCs w:val="24"/>
        </w:rPr>
      </w:pPr>
      <w:r>
        <w:rPr>
          <w:rFonts w:hint="eastAsia"/>
          <w:sz w:val="24"/>
          <w:szCs w:val="24"/>
        </w:rPr>
        <w:t>2.2 免费临时扩容每次最长可达72小时；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200"/>
        <w:rPr>
          <w:sz w:val="24"/>
          <w:szCs w:val="24"/>
        </w:rPr>
      </w:pPr>
      <w:r>
        <w:rPr>
          <w:rFonts w:hint="eastAsia"/>
          <w:sz w:val="24"/>
          <w:szCs w:val="24"/>
        </w:rPr>
        <w:t>3、多年付及续签政策，当采购人签订两年及两年以上合约时，投标人可提供采购人相应的优惠政策，具体明细如下：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30"/>
        <w:gridCol w:w="2130"/>
        <w:gridCol w:w="2168"/>
      </w:tblGrid>
      <w:tr w:rsidR="009D5076" w:rsidRPr="00244321" w:rsidTr="0079386F">
        <w:trPr>
          <w:jc w:val="center"/>
        </w:trPr>
        <w:tc>
          <w:tcPr>
            <w:tcW w:w="2094" w:type="dxa"/>
            <w:vAlign w:val="center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合同周期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优惠一</w:t>
            </w:r>
          </w:p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（赠送时长）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优惠二</w:t>
            </w:r>
          </w:p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（价格折扣）</w:t>
            </w:r>
          </w:p>
        </w:tc>
        <w:tc>
          <w:tcPr>
            <w:tcW w:w="2168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备注</w:t>
            </w:r>
          </w:p>
        </w:tc>
      </w:tr>
      <w:tr w:rsidR="009D5076" w:rsidRPr="00244321" w:rsidTr="0079386F">
        <w:trPr>
          <w:jc w:val="center"/>
        </w:trPr>
        <w:tc>
          <w:tcPr>
            <w:tcW w:w="2094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二年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二个月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85%</w:t>
            </w:r>
          </w:p>
        </w:tc>
        <w:tc>
          <w:tcPr>
            <w:tcW w:w="2168" w:type="dxa"/>
            <w:vMerge w:val="restart"/>
          </w:tcPr>
          <w:p w:rsidR="009D5076" w:rsidRPr="00244321" w:rsidRDefault="009D5076" w:rsidP="0079386F">
            <w:pPr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与“分项报价表”折扣方案不冲突</w:t>
            </w:r>
          </w:p>
        </w:tc>
      </w:tr>
      <w:tr w:rsidR="009D5076" w:rsidRPr="00244321" w:rsidTr="0079386F">
        <w:trPr>
          <w:jc w:val="center"/>
        </w:trPr>
        <w:tc>
          <w:tcPr>
            <w:tcW w:w="2094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三年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三个月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80%</w:t>
            </w:r>
          </w:p>
        </w:tc>
        <w:tc>
          <w:tcPr>
            <w:tcW w:w="2168" w:type="dxa"/>
            <w:vMerge/>
          </w:tcPr>
          <w:p w:rsidR="009D5076" w:rsidRPr="00244321" w:rsidRDefault="009D5076" w:rsidP="0079386F">
            <w:pPr>
              <w:rPr>
                <w:rFonts w:cs="宋体"/>
                <w:bCs/>
                <w:color w:val="000000"/>
                <w:szCs w:val="24"/>
              </w:rPr>
            </w:pPr>
          </w:p>
        </w:tc>
      </w:tr>
      <w:tr w:rsidR="009D5076" w:rsidRPr="00244321" w:rsidTr="0079386F">
        <w:trPr>
          <w:jc w:val="center"/>
        </w:trPr>
        <w:tc>
          <w:tcPr>
            <w:tcW w:w="2094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五年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六个月</w:t>
            </w:r>
          </w:p>
        </w:tc>
        <w:tc>
          <w:tcPr>
            <w:tcW w:w="2130" w:type="dxa"/>
          </w:tcPr>
          <w:p w:rsidR="009D5076" w:rsidRPr="00244321" w:rsidRDefault="009D5076" w:rsidP="0079386F">
            <w:pPr>
              <w:jc w:val="center"/>
              <w:rPr>
                <w:rFonts w:cs="宋体"/>
                <w:bCs/>
                <w:color w:val="000000"/>
                <w:szCs w:val="24"/>
              </w:rPr>
            </w:pPr>
            <w:r w:rsidRPr="00244321">
              <w:rPr>
                <w:rFonts w:cs="宋体" w:hint="eastAsia"/>
                <w:bCs/>
                <w:color w:val="000000"/>
                <w:szCs w:val="24"/>
              </w:rPr>
              <w:t>75%</w:t>
            </w:r>
          </w:p>
        </w:tc>
        <w:tc>
          <w:tcPr>
            <w:tcW w:w="2168" w:type="dxa"/>
            <w:vMerge/>
          </w:tcPr>
          <w:p w:rsidR="009D5076" w:rsidRPr="00244321" w:rsidRDefault="009D5076" w:rsidP="0079386F">
            <w:pPr>
              <w:rPr>
                <w:rFonts w:cs="宋体"/>
                <w:bCs/>
                <w:color w:val="000000"/>
                <w:szCs w:val="24"/>
              </w:rPr>
            </w:pPr>
          </w:p>
        </w:tc>
      </w:tr>
    </w:tbl>
    <w:p w:rsidR="009D5076" w:rsidRDefault="009D5076" w:rsidP="009D5076">
      <w:pPr>
        <w:pStyle w:val="unnamed1"/>
        <w:numPr>
          <w:ilvl w:val="0"/>
          <w:numId w:val="4"/>
        </w:numPr>
        <w:snapToGrid w:val="0"/>
        <w:spacing w:before="0" w:beforeAutospacing="0" w:after="0" w:afterAutospacing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服务策略：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4.1技术支持部门7×24小时值班010-86463727；客户服务部门5×9小时服务电话010-65752677；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4.2单项目指定服务专人团队7×24小时手机待命服务：销售部1人，技术部1人，客服部1人，项目部1人，公司管理岗1人；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4.3技术手段监测整体网络，我司技术系统会监测我司整个城域网以及客户端接入设备的联通率，当监测到某用户网络发生无法连接（链路中断、设备故障、电力故障）时，技术系统会第一时间报警，我司技术人员会迅速做出响应并和客户确认具体情况，并及时联系各部门及各方及时处理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4.4定期巡查制度，我司技术部、项目部、客服部会根据各自职责，定期（每月/每季度）巡查我司网络线路、链路（重点链路双路热备）、设备（保养、折旧更换）、电力（市电、UPS）、网络资源、客户使用情况等，排查隐患，消除并降低故障发生几率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4.5我司技术部在接到用户故障报修处理后，5分钟内迅速响应，远程排查内网、外网故障点及故障原因，30分钟内远程处理，如远程无法处理，五环内2小时内上门处理，五环外4小时内上门处理，光缆故障（市政或其它意外）承诺8-24小时恢复；</w:t>
      </w:r>
    </w:p>
    <w:p w:rsidR="009D5076" w:rsidRDefault="009D5076" w:rsidP="009D5076">
      <w:pPr>
        <w:pStyle w:val="unnamed1"/>
        <w:snapToGrid w:val="0"/>
        <w:spacing w:before="0" w:beforeAutospacing="0" w:after="0" w:afterAutospacing="0" w:line="24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4.6核心网搭建、城域网搭建，全部采用华为运营商网络搭建设备及策略，北京市城域网搭建，全部采用联通、移动、天童、北信基础等高效稳定的链路资源，并合理规划，核心防火墙及核心网在防DDOS及网络安全上达到业内高标准，带宽资源采用联通、电信、移动一级运营商广播资源，准BGP带宽，稳定高效传输，上下行对等，延迟稳定无抖动。</w:t>
      </w:r>
    </w:p>
    <w:p w:rsidR="009D5076" w:rsidRDefault="009D5076" w:rsidP="009D5076">
      <w:pPr>
        <w:ind w:firstLineChars="200" w:firstLine="420"/>
      </w:pPr>
    </w:p>
    <w:p w:rsidR="0049580F" w:rsidRPr="009D5076" w:rsidRDefault="0049580F" w:rsidP="009D5076"/>
    <w:sectPr w:rsidR="0049580F" w:rsidRPr="009D5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481AD"/>
    <w:multiLevelType w:val="singleLevel"/>
    <w:tmpl w:val="ACB481AD"/>
    <w:lvl w:ilvl="0">
      <w:start w:val="4"/>
      <w:numFmt w:val="decimal"/>
      <w:suff w:val="nothing"/>
      <w:lvlText w:val="%1、"/>
      <w:lvlJc w:val="left"/>
    </w:lvl>
  </w:abstractNum>
  <w:abstractNum w:abstractNumId="1">
    <w:nsid w:val="AFBB2D0C"/>
    <w:multiLevelType w:val="singleLevel"/>
    <w:tmpl w:val="AFBB2D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050793A"/>
    <w:multiLevelType w:val="singleLevel"/>
    <w:tmpl w:val="B050793A"/>
    <w:lvl w:ilvl="0">
      <w:start w:val="1"/>
      <w:numFmt w:val="decimal"/>
      <w:suff w:val="nothing"/>
      <w:lvlText w:val="（%1）"/>
      <w:lvlJc w:val="left"/>
    </w:lvl>
  </w:abstractNum>
  <w:abstractNum w:abstractNumId="3">
    <w:nsid w:val="CC2705E8"/>
    <w:multiLevelType w:val="singleLevel"/>
    <w:tmpl w:val="CC2705E8"/>
    <w:lvl w:ilvl="0">
      <w:start w:val="1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9"/>
    <w:rsid w:val="000A78A4"/>
    <w:rsid w:val="000E77CB"/>
    <w:rsid w:val="00163210"/>
    <w:rsid w:val="001C32E8"/>
    <w:rsid w:val="001D5C66"/>
    <w:rsid w:val="002A302E"/>
    <w:rsid w:val="002A4F71"/>
    <w:rsid w:val="00322C94"/>
    <w:rsid w:val="00380CDC"/>
    <w:rsid w:val="00467A1B"/>
    <w:rsid w:val="004850A4"/>
    <w:rsid w:val="0049580F"/>
    <w:rsid w:val="004A4668"/>
    <w:rsid w:val="004C4415"/>
    <w:rsid w:val="00623EDE"/>
    <w:rsid w:val="007E06EF"/>
    <w:rsid w:val="009D5076"/>
    <w:rsid w:val="00A44909"/>
    <w:rsid w:val="00AB4281"/>
    <w:rsid w:val="00C10E3E"/>
    <w:rsid w:val="00DF7A7F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  <w:style w:type="paragraph" w:customStyle="1" w:styleId="unnamed1">
    <w:name w:val="unnamed1"/>
    <w:basedOn w:val="a"/>
    <w:rsid w:val="009D5076"/>
    <w:pPr>
      <w:widowControl/>
      <w:spacing w:before="100" w:beforeAutospacing="1" w:after="100" w:afterAutospacing="1" w:line="360" w:lineRule="auto"/>
      <w:jc w:val="left"/>
    </w:pPr>
    <w:rPr>
      <w:rFonts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  <w:style w:type="paragraph" w:customStyle="1" w:styleId="unnamed1">
    <w:name w:val="unnamed1"/>
    <w:basedOn w:val="a"/>
    <w:rsid w:val="009D5076"/>
    <w:pPr>
      <w:widowControl/>
      <w:spacing w:before="100" w:beforeAutospacing="1" w:after="100" w:afterAutospacing="1" w:line="360" w:lineRule="auto"/>
      <w:jc w:val="left"/>
    </w:pPr>
    <w:rPr>
      <w:rFonts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2021-02-05T04:41:00Z</dcterms:created>
  <dcterms:modified xsi:type="dcterms:W3CDTF">2021-02-05T04:41:00Z</dcterms:modified>
</cp:coreProperties>
</file>