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61"/>
        <w:tblW w:w="12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90"/>
        <w:gridCol w:w="1756"/>
        <w:gridCol w:w="813"/>
        <w:gridCol w:w="1048"/>
        <w:gridCol w:w="1803"/>
        <w:gridCol w:w="1188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中标候选人排序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中标候选人名称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（元）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质量标准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工期（天）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初审情况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最终得分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江西绿巨人生态环境股份有限公司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18791827.56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90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91.18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德州亚太集团有限公司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18890332.76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90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89.46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山东益通安装有限公司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19228069.96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90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89.19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</w:tbl>
    <w:p>
      <w:pPr>
        <w:rPr>
          <w:rFonts w:hint="eastAsia" w:ascii="方正仿宋_GBK" w:eastAsia="方正仿宋_GBK"/>
          <w:b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sz w:val="30"/>
          <w:szCs w:val="30"/>
        </w:rPr>
        <w:t>附件</w:t>
      </w:r>
      <w:r>
        <w:rPr>
          <w:rFonts w:hint="eastAsia" w:ascii="方正仿宋_GBK" w:eastAsia="方正仿宋_GBK"/>
          <w:b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b/>
          <w:sz w:val="30"/>
          <w:szCs w:val="30"/>
          <w:lang w:val="en-US" w:eastAsia="zh-CN"/>
        </w:rPr>
        <w:t>中标候选人公示附件</w:t>
      </w:r>
      <w:bookmarkStart w:id="0" w:name="_GoBack"/>
      <w:bookmarkEnd w:id="0"/>
    </w:p>
    <w:p>
      <w:pPr>
        <w:rPr>
          <w:rFonts w:hint="eastAsia" w:ascii="方正仿宋_GBK" w:eastAsia="方正仿宋_GBK"/>
          <w:b/>
          <w:sz w:val="30"/>
          <w:szCs w:val="30"/>
          <w:lang w:eastAsia="zh-CN"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EEFF5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7</TotalTime>
  <ScaleCrop>false</ScaleCrop>
  <LinksUpToDate>false</LinksUpToDate>
  <CharactersWithSpaces>240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2021-10-09T14:44:00Z</dcterms:created>
  <dc:creator>1</dc:creator>
  <cp:lastModifiedBy>kylin</cp:lastModifiedBy>
  <dcterms:modified xsi:type="dcterms:W3CDTF">2023-07-19T09:28:15Z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