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561"/>
        <w:tblW w:w="12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90"/>
        <w:gridCol w:w="1756"/>
        <w:gridCol w:w="813"/>
        <w:gridCol w:w="1048"/>
        <w:gridCol w:w="1803"/>
        <w:gridCol w:w="1188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中标候选人排序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中标候选人名称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（元）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质量标准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工期（天）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初审情况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最终得分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both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>北京城建亚泰建设集团有限公司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  <w:t>18190393.31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bookmarkStart w:id="0" w:name="TBYQS_JHGQ_0"/>
            <w:r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  <w:t>210</w:t>
            </w:r>
            <w:bookmarkEnd w:id="0"/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  <w:t>94.33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both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>中铁城建集团北京工程有限公司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  <w:t>18260128.33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  <w:t>210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  <w:t>88.57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both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>中外建华诚工程技术集团有限公司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  <w:t>18277116.64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  <w:t>210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4"/>
                <w:szCs w:val="28"/>
                <w:lang w:val="en-US" w:eastAsia="zh-CN" w:bidi="ar-SA"/>
              </w:rPr>
              <w:t>87.63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满足招标文件“投标人须知前附表”中要求的资格能力条件</w:t>
            </w:r>
          </w:p>
        </w:tc>
      </w:tr>
    </w:tbl>
    <w:p>
      <w:pPr>
        <w:rPr>
          <w:rFonts w:ascii="方正仿宋_GBK" w:eastAsia="方正仿宋_GBK"/>
          <w:b/>
          <w:sz w:val="30"/>
          <w:szCs w:val="30"/>
        </w:rPr>
      </w:pPr>
      <w:r>
        <w:rPr>
          <w:rFonts w:hint="eastAsia" w:ascii="方正仿宋_GBK" w:eastAsia="方正仿宋_GBK"/>
          <w:b/>
          <w:sz w:val="30"/>
          <w:szCs w:val="30"/>
        </w:rPr>
        <w:t>附件</w:t>
      </w:r>
    </w:p>
    <w:p>
      <w:pPr>
        <w:rPr>
          <w:b/>
        </w:rPr>
      </w:pPr>
    </w:p>
    <w:p>
      <w:pPr>
        <w:rPr>
          <w:b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DBFFA0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2021-10-09T14:44:00Z</dcterms:created>
  <dc:creator>1</dc:creator>
  <cp:lastModifiedBy>kylin</cp:lastModifiedBy>
  <dcterms:modified xsi:type="dcterms:W3CDTF">2023-01-13T16:07:01Z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